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cs="宋体"/>
          <w:sz w:val="24"/>
        </w:rPr>
      </w:pPr>
      <w:r>
        <w:rPr>
          <w:rFonts w:hint="eastAsia" w:ascii="宋体" w:hAnsi="宋体" w:cs="宋体"/>
          <w:b/>
          <w:sz w:val="32"/>
          <w:szCs w:val="32"/>
          <w:lang w:val="en-US" w:eastAsia="zh-CN"/>
        </w:rPr>
        <w:t>农村环境委托服务</w:t>
      </w:r>
      <w:r>
        <w:rPr>
          <w:rFonts w:hint="eastAsia" w:ascii="宋体" w:hAnsi="宋体" w:cs="宋体"/>
          <w:b/>
          <w:sz w:val="32"/>
          <w:szCs w:val="32"/>
        </w:rPr>
        <w:t>采购需求</w:t>
      </w:r>
    </w:p>
    <w:p>
      <w:pPr>
        <w:spacing w:line="360" w:lineRule="auto"/>
        <w:ind w:firstLine="480"/>
        <w:rPr>
          <w:rFonts w:ascii="仿宋" w:hAnsi="仿宋" w:eastAsia="仿宋" w:cs="仿宋_GB2312"/>
          <w:szCs w:val="21"/>
        </w:rPr>
      </w:pPr>
      <w:r>
        <w:rPr>
          <w:rStyle w:val="52"/>
          <w:rFonts w:hint="eastAsia" w:ascii="宋体" w:hAnsi="宋体" w:cs="宋体"/>
          <w:bCs/>
          <w:sz w:val="24"/>
          <w:szCs w:val="22"/>
        </w:rPr>
        <w:t>一、采购项目名称：202</w:t>
      </w:r>
      <w:r>
        <w:rPr>
          <w:rStyle w:val="52"/>
          <w:rFonts w:hint="eastAsia" w:ascii="宋体" w:hAnsi="宋体" w:cs="宋体"/>
          <w:bCs/>
          <w:sz w:val="24"/>
          <w:szCs w:val="22"/>
          <w:lang w:val="en-US" w:eastAsia="zh-CN"/>
        </w:rPr>
        <w:t>4</w:t>
      </w:r>
      <w:r>
        <w:rPr>
          <w:rStyle w:val="52"/>
          <w:rFonts w:hint="eastAsia" w:ascii="宋体" w:hAnsi="宋体" w:cs="宋体"/>
          <w:bCs/>
          <w:sz w:val="24"/>
          <w:szCs w:val="22"/>
        </w:rPr>
        <w:t>年隆回县农村环境质量监测项目</w:t>
      </w:r>
    </w:p>
    <w:p>
      <w:pPr>
        <w:spacing w:line="360" w:lineRule="auto"/>
        <w:ind w:firstLine="480"/>
        <w:rPr>
          <w:rStyle w:val="52"/>
          <w:rFonts w:ascii="宋体" w:hAnsi="宋体" w:cs="宋体"/>
          <w:bCs/>
          <w:sz w:val="24"/>
          <w:szCs w:val="22"/>
        </w:rPr>
      </w:pPr>
      <w:r>
        <w:rPr>
          <w:rStyle w:val="52"/>
          <w:rFonts w:hint="eastAsia" w:ascii="宋体" w:hAnsi="宋体" w:cs="宋体"/>
          <w:bCs/>
          <w:sz w:val="24"/>
          <w:szCs w:val="22"/>
        </w:rPr>
        <w:t>二、采购项目预算：9800</w:t>
      </w:r>
      <w:r>
        <w:rPr>
          <w:rStyle w:val="52"/>
          <w:rFonts w:hint="eastAsia" w:ascii="宋体" w:hAnsi="宋体" w:cs="宋体"/>
          <w:bCs/>
          <w:sz w:val="24"/>
          <w:szCs w:val="22"/>
          <w:lang w:val="en-US" w:eastAsia="zh-CN"/>
        </w:rPr>
        <w:t>0</w:t>
      </w:r>
      <w:r>
        <w:rPr>
          <w:rStyle w:val="52"/>
          <w:rFonts w:hint="eastAsia" w:ascii="宋体" w:hAnsi="宋体" w:cs="宋体"/>
          <w:bCs/>
          <w:sz w:val="24"/>
          <w:szCs w:val="22"/>
        </w:rPr>
        <w:t>元。</w:t>
      </w:r>
      <w:bookmarkStart w:id="0" w:name="_GoBack"/>
      <w:bookmarkEnd w:id="0"/>
    </w:p>
    <w:p>
      <w:pPr>
        <w:spacing w:line="360" w:lineRule="auto"/>
        <w:ind w:firstLine="480"/>
        <w:rPr>
          <w:rStyle w:val="52"/>
          <w:rFonts w:ascii="宋体" w:hAnsi="宋体" w:cs="宋体"/>
          <w:bCs/>
          <w:sz w:val="24"/>
          <w:szCs w:val="22"/>
        </w:rPr>
      </w:pPr>
      <w:r>
        <w:rPr>
          <w:rStyle w:val="52"/>
          <w:rFonts w:hint="eastAsia" w:ascii="宋体" w:hAnsi="宋体" w:cs="宋体"/>
          <w:bCs/>
          <w:sz w:val="24"/>
          <w:szCs w:val="22"/>
        </w:rPr>
        <w:t>三、项目内容及相关要求：</w:t>
      </w:r>
    </w:p>
    <w:p>
      <w:pPr>
        <w:spacing w:line="360" w:lineRule="auto"/>
        <w:ind w:firstLine="480"/>
        <w:rPr>
          <w:rStyle w:val="52"/>
          <w:rFonts w:ascii="宋体" w:hAnsi="宋体" w:cs="宋体"/>
          <w:bCs/>
          <w:sz w:val="24"/>
          <w:szCs w:val="22"/>
        </w:rPr>
      </w:pPr>
      <w:r>
        <w:rPr>
          <w:rStyle w:val="52"/>
          <w:rFonts w:hint="eastAsia" w:ascii="宋体" w:hAnsi="宋体" w:cs="宋体"/>
          <w:bCs/>
          <w:sz w:val="24"/>
          <w:szCs w:val="22"/>
        </w:rPr>
        <w:t>1、服务时间：1年(</w:t>
      </w:r>
      <w:r>
        <w:rPr>
          <w:rStyle w:val="52"/>
          <w:rFonts w:hint="eastAsia" w:ascii="宋体" w:hAnsi="宋体" w:cs="宋体"/>
          <w:bCs/>
          <w:color w:val="0000FF"/>
          <w:sz w:val="24"/>
          <w:szCs w:val="22"/>
        </w:rPr>
        <w:t>202</w:t>
      </w:r>
      <w:r>
        <w:rPr>
          <w:rStyle w:val="52"/>
          <w:rFonts w:hint="eastAsia" w:ascii="宋体" w:hAnsi="宋体" w:cs="宋体"/>
          <w:bCs/>
          <w:color w:val="0000FF"/>
          <w:sz w:val="24"/>
          <w:szCs w:val="22"/>
          <w:lang w:val="en-US" w:eastAsia="zh-CN"/>
        </w:rPr>
        <w:t>4</w:t>
      </w:r>
      <w:r>
        <w:rPr>
          <w:rStyle w:val="52"/>
          <w:rFonts w:hint="eastAsia" w:ascii="宋体" w:hAnsi="宋体" w:cs="宋体"/>
          <w:bCs/>
          <w:color w:val="0000FF"/>
          <w:sz w:val="24"/>
          <w:szCs w:val="22"/>
        </w:rPr>
        <w:t>年</w:t>
      </w:r>
      <w:r>
        <w:rPr>
          <w:rStyle w:val="52"/>
          <w:rFonts w:hint="eastAsia" w:ascii="宋体" w:hAnsi="宋体" w:cs="宋体"/>
          <w:bCs/>
          <w:color w:val="0000FF"/>
          <w:sz w:val="24"/>
          <w:szCs w:val="22"/>
          <w:lang w:val="en-US" w:eastAsia="zh-CN"/>
        </w:rPr>
        <w:t>二季度</w:t>
      </w:r>
      <w:r>
        <w:rPr>
          <w:rStyle w:val="52"/>
          <w:rFonts w:hint="eastAsia" w:ascii="宋体" w:hAnsi="宋体" w:cs="宋体"/>
          <w:bCs/>
          <w:color w:val="0000FF"/>
          <w:sz w:val="24"/>
          <w:szCs w:val="22"/>
        </w:rPr>
        <w:t>至202</w:t>
      </w:r>
      <w:r>
        <w:rPr>
          <w:rStyle w:val="52"/>
          <w:rFonts w:hint="eastAsia" w:ascii="宋体" w:hAnsi="宋体" w:cs="宋体"/>
          <w:bCs/>
          <w:color w:val="0000FF"/>
          <w:sz w:val="24"/>
          <w:szCs w:val="22"/>
          <w:lang w:val="en-US" w:eastAsia="zh-CN"/>
        </w:rPr>
        <w:t>5</w:t>
      </w:r>
      <w:r>
        <w:rPr>
          <w:rStyle w:val="52"/>
          <w:rFonts w:hint="eastAsia" w:ascii="宋体" w:hAnsi="宋体" w:cs="宋体"/>
          <w:bCs/>
          <w:color w:val="0000FF"/>
          <w:sz w:val="24"/>
          <w:szCs w:val="22"/>
        </w:rPr>
        <w:t>年</w:t>
      </w:r>
      <w:r>
        <w:rPr>
          <w:rStyle w:val="52"/>
          <w:rFonts w:hint="eastAsia" w:ascii="宋体" w:hAnsi="宋体" w:cs="宋体"/>
          <w:bCs/>
          <w:color w:val="0000FF"/>
          <w:sz w:val="24"/>
          <w:szCs w:val="22"/>
          <w:lang w:val="en-US" w:eastAsia="zh-CN"/>
        </w:rPr>
        <w:t>一季度</w:t>
      </w:r>
      <w:r>
        <w:rPr>
          <w:rStyle w:val="52"/>
          <w:rFonts w:hint="eastAsia" w:ascii="宋体" w:hAnsi="宋体" w:cs="宋体"/>
          <w:bCs/>
          <w:sz w:val="24"/>
          <w:szCs w:val="22"/>
        </w:rPr>
        <w:t>)。</w:t>
      </w:r>
    </w:p>
    <w:p>
      <w:pPr>
        <w:widowControl/>
        <w:ind w:firstLine="480" w:firstLineChars="200"/>
        <w:textAlignment w:val="center"/>
        <w:rPr>
          <w:rFonts w:ascii="宋体" w:hAnsi="宋体" w:cs="宋体"/>
          <w:b/>
          <w:bCs/>
          <w:color w:val="000000"/>
          <w:kern w:val="0"/>
          <w:sz w:val="24"/>
        </w:rPr>
      </w:pPr>
      <w:r>
        <w:rPr>
          <w:rStyle w:val="52"/>
          <w:rFonts w:hint="eastAsia" w:ascii="宋体" w:hAnsi="宋体" w:cs="宋体"/>
          <w:bCs/>
          <w:sz w:val="24"/>
          <w:szCs w:val="22"/>
        </w:rPr>
        <w:t>2、服务内容：</w:t>
      </w:r>
    </w:p>
    <w:tbl>
      <w:tblPr>
        <w:tblStyle w:val="7"/>
        <w:tblW w:w="10138" w:type="dxa"/>
        <w:jc w:val="center"/>
        <w:tblLayout w:type="fixed"/>
        <w:tblCellMar>
          <w:top w:w="0" w:type="dxa"/>
          <w:left w:w="0" w:type="dxa"/>
          <w:bottom w:w="0" w:type="dxa"/>
          <w:right w:w="0" w:type="dxa"/>
        </w:tblCellMar>
      </w:tblPr>
      <w:tblGrid>
        <w:gridCol w:w="936"/>
        <w:gridCol w:w="144"/>
        <w:gridCol w:w="6385"/>
        <w:gridCol w:w="144"/>
        <w:gridCol w:w="936"/>
        <w:gridCol w:w="144"/>
        <w:gridCol w:w="1449"/>
      </w:tblGrid>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bCs/>
                <w:color w:val="000000"/>
                <w:szCs w:val="21"/>
              </w:rPr>
            </w:pPr>
            <w:r>
              <w:rPr>
                <w:rFonts w:hint="eastAsia" w:ascii="宋体" w:hAnsi="宋体" w:cs="宋体"/>
                <w:b/>
                <w:bCs/>
                <w:color w:val="000000"/>
                <w:kern w:val="0"/>
                <w:szCs w:val="21"/>
              </w:rPr>
              <w:t>类别</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bCs/>
                <w:color w:val="000000"/>
                <w:szCs w:val="21"/>
              </w:rPr>
            </w:pPr>
            <w:r>
              <w:rPr>
                <w:rFonts w:hint="eastAsia" w:ascii="宋体" w:hAnsi="宋体" w:cs="宋体"/>
                <w:b/>
                <w:bCs/>
                <w:color w:val="000000"/>
                <w:kern w:val="0"/>
                <w:szCs w:val="21"/>
              </w:rPr>
              <w:t>检测项目及点位名称</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bCs/>
                <w:color w:val="000000"/>
                <w:szCs w:val="21"/>
              </w:rPr>
            </w:pPr>
            <w:r>
              <w:rPr>
                <w:rFonts w:hint="eastAsia" w:ascii="宋体" w:hAnsi="宋体" w:cs="宋体"/>
                <w:b/>
                <w:bCs/>
                <w:color w:val="000000"/>
                <w:kern w:val="0"/>
                <w:szCs w:val="21"/>
              </w:rPr>
              <w:t>检测点位个数</w:t>
            </w:r>
          </w:p>
        </w:tc>
        <w:tc>
          <w:tcPr>
            <w:tcW w:w="159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bCs/>
                <w:color w:val="000000"/>
                <w:szCs w:val="21"/>
              </w:rPr>
            </w:pPr>
            <w:r>
              <w:rPr>
                <w:rFonts w:hint="eastAsia" w:ascii="宋体" w:hAnsi="宋体" w:cs="宋体"/>
                <w:b/>
                <w:bCs/>
                <w:color w:val="000000"/>
                <w:kern w:val="0"/>
                <w:szCs w:val="21"/>
              </w:rPr>
              <w:t>采样频次</w:t>
            </w:r>
          </w:p>
        </w:tc>
      </w:tr>
      <w:tr>
        <w:tblPrEx>
          <w:tblCellMar>
            <w:top w:w="0" w:type="dxa"/>
            <w:left w:w="0" w:type="dxa"/>
            <w:bottom w:w="0" w:type="dxa"/>
            <w:right w:w="0" w:type="dxa"/>
          </w:tblCellMar>
        </w:tblPrEx>
        <w:trPr>
          <w:jc w:val="center"/>
        </w:trPr>
        <w:tc>
          <w:tcPr>
            <w:tcW w:w="10138"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b/>
                <w:color w:val="000000"/>
                <w:szCs w:val="21"/>
              </w:rPr>
            </w:pPr>
            <w:r>
              <w:rPr>
                <w:rFonts w:hint="eastAsia" w:ascii="宋体" w:hAnsi="宋体" w:cs="宋体"/>
                <w:b/>
                <w:color w:val="000000"/>
                <w:kern w:val="0"/>
                <w:szCs w:val="21"/>
              </w:rPr>
              <w:t>一、</w:t>
            </w:r>
            <w:r>
              <w:rPr>
                <w:rFonts w:hint="eastAsia" w:ascii="仿宋" w:hAnsi="仿宋" w:eastAsia="仿宋" w:cs="仿宋_GB2312"/>
                <w:b/>
                <w:bCs/>
                <w:szCs w:val="21"/>
              </w:rPr>
              <w:t>18个20吨以上废水处理设施监测（9乡镇污水处理厂和9个人工湿地）</w:t>
            </w: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9个乡镇污水处理厂和9个人工湿地</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kern w:val="0"/>
                <w:szCs w:val="21"/>
              </w:rPr>
            </w:pPr>
            <w:r>
              <w:rPr>
                <w:rStyle w:val="12"/>
                <w:lang w:eastAsia="zh-CN"/>
              </w:rPr>
              <w:t>监测因子：水温、</w:t>
            </w:r>
            <w:r>
              <w:rPr>
                <w:rFonts w:hint="eastAsia" w:ascii="宋体" w:hAnsi="宋体" w:cs="宋体"/>
                <w:color w:val="000000"/>
                <w:kern w:val="0"/>
                <w:szCs w:val="21"/>
              </w:rPr>
              <w:t>PH、COD、BOD5、SS、NH3-N、总磷、粪大肠菌群、流量、总氮  （共10项）</w:t>
            </w:r>
          </w:p>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9个乡镇污水处理厂（北山镇、滩头镇、六都寨、金石桥镇、小沙江镇、三阁司、南岳庙、西洋江、横板桥）；</w:t>
            </w:r>
          </w:p>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9个人工湿地（山界罗白、雨山居委会、石门合龙、荷香桥九牛坳、横板桥麻场、南岳庙新家桥、司门前石丰村、横板桥黄新村、虎形山崇木函村）</w:t>
            </w:r>
          </w:p>
          <w:p>
            <w:pPr>
              <w:widowControl/>
              <w:jc w:val="left"/>
              <w:textAlignment w:val="center"/>
              <w:rPr>
                <w:rFonts w:ascii="宋体" w:hAnsi="宋体" w:cs="宋体"/>
                <w:color w:val="000000"/>
                <w:szCs w:val="21"/>
              </w:rPr>
            </w:pP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Style w:val="12"/>
                <w:lang w:eastAsia="zh-CN"/>
              </w:rPr>
              <w:t>18</w:t>
            </w:r>
            <w:r>
              <w:rPr>
                <w:rStyle w:val="12"/>
                <w:rFonts w:hint="default"/>
              </w:rPr>
              <w:t>个</w:t>
            </w:r>
          </w:p>
        </w:tc>
        <w:tc>
          <w:tcPr>
            <w:tcW w:w="159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 xml:space="preserve">按照相关采样技术标准进行采样；乡镇污水处理厂全年4次；季/次；人工湿地全年2次；半年/次                                                                                                                                                                                                               </w:t>
            </w:r>
          </w:p>
        </w:tc>
      </w:tr>
      <w:tr>
        <w:tblPrEx>
          <w:tblCellMar>
            <w:top w:w="0" w:type="dxa"/>
            <w:left w:w="0" w:type="dxa"/>
            <w:bottom w:w="0" w:type="dxa"/>
            <w:right w:w="0" w:type="dxa"/>
          </w:tblCellMar>
        </w:tblPrEx>
        <w:trPr>
          <w:jc w:val="center"/>
        </w:trPr>
        <w:tc>
          <w:tcPr>
            <w:tcW w:w="10138"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b/>
                <w:color w:val="000000"/>
                <w:szCs w:val="21"/>
              </w:rPr>
            </w:pPr>
            <w:r>
              <w:rPr>
                <w:rFonts w:hint="eastAsia" w:ascii="宋体" w:hAnsi="宋体" w:cs="宋体"/>
                <w:b/>
                <w:color w:val="000000"/>
                <w:kern w:val="0"/>
                <w:szCs w:val="21"/>
              </w:rPr>
              <w:t>二、</w:t>
            </w:r>
            <w:r>
              <w:rPr>
                <w:rFonts w:hint="eastAsia" w:ascii="仿宋" w:hAnsi="仿宋" w:eastAsia="仿宋" w:cs="仿宋_GB2312"/>
                <w:b/>
                <w:bCs/>
                <w:szCs w:val="21"/>
              </w:rPr>
              <w:t>7个农村环境地表水断面监测（包括种植、养殖、生活、入境、出境、重点湖库、农田灌溉）</w:t>
            </w: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1个种植业流失断面</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6"/>
              <w:ind w:left="0" w:leftChars="0" w:firstLine="0" w:firstLineChars="0"/>
              <w:rPr>
                <w:rFonts w:ascii="宋体" w:hAnsi="宋体" w:cs="宋体"/>
                <w:color w:val="000000"/>
                <w:kern w:val="0"/>
                <w:szCs w:val="21"/>
              </w:rPr>
            </w:pPr>
            <w:r>
              <w:rPr>
                <w:rFonts w:hint="eastAsia" w:ascii="宋体" w:hAnsi="宋体" w:cs="宋体"/>
                <w:color w:val="000000"/>
                <w:szCs w:val="21"/>
              </w:rPr>
              <w:t>监测因子：</w:t>
            </w:r>
            <w:r>
              <w:rPr>
                <w:rFonts w:hint="eastAsia" w:ascii="宋体" w:hAnsi="宋体" w:cs="宋体"/>
                <w:color w:val="000000"/>
                <w:kern w:val="0"/>
                <w:szCs w:val="21"/>
              </w:rPr>
              <w:t>硝酸盐、高锰酸盐指数、COD、NH</w:t>
            </w:r>
            <w:r>
              <w:rPr>
                <w:rFonts w:hint="eastAsia" w:ascii="宋体" w:hAnsi="宋体" w:cs="宋体"/>
                <w:color w:val="000000"/>
                <w:kern w:val="0"/>
                <w:szCs w:val="21"/>
                <w:vertAlign w:val="subscript"/>
              </w:rPr>
              <w:t>3</w:t>
            </w:r>
            <w:r>
              <w:rPr>
                <w:rFonts w:hint="eastAsia" w:ascii="宋体" w:hAnsi="宋体" w:cs="宋体"/>
                <w:color w:val="000000"/>
                <w:kern w:val="0"/>
                <w:szCs w:val="21"/>
              </w:rPr>
              <w:t>-N、总磷、总氮、流量</w:t>
            </w:r>
          </w:p>
          <w:p>
            <w:pPr>
              <w:pStyle w:val="6"/>
              <w:ind w:left="0" w:leftChars="0" w:firstLine="0" w:firstLineChars="0"/>
              <w:rPr>
                <w:rFonts w:ascii="宋体" w:hAnsi="宋体" w:cs="宋体"/>
                <w:color w:val="000000"/>
                <w:kern w:val="0"/>
                <w:szCs w:val="21"/>
              </w:rPr>
            </w:pPr>
            <w:r>
              <w:rPr>
                <w:rFonts w:hint="eastAsia" w:ascii="宋体" w:hAnsi="宋体" w:cs="宋体"/>
                <w:color w:val="000000"/>
                <w:kern w:val="0"/>
                <w:szCs w:val="21"/>
              </w:rPr>
              <w:t>采样地点：辰水入资江口上游100米</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1个</w:t>
            </w:r>
          </w:p>
        </w:tc>
        <w:tc>
          <w:tcPr>
            <w:tcW w:w="1593" w:type="dxa"/>
            <w:gridSpan w:val="2"/>
            <w:vMerge w:val="restart"/>
            <w:tcBorders>
              <w:top w:val="single" w:color="000000" w:sz="4" w:space="0"/>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按照相关采样技术标准进行采样。全年4次；1季/次；</w:t>
            </w:r>
          </w:p>
          <w:p>
            <w:pPr>
              <w:widowControl/>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1个养殖业污染控制断面</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pPr>
            <w:r>
              <w:rPr>
                <w:rFonts w:hint="eastAsia"/>
              </w:rPr>
              <w:t>监测因子：硝酸盐、高锰酸盐指数、COD、NH3-N、总磷、总氮、流量</w:t>
            </w:r>
          </w:p>
          <w:p>
            <w:pPr>
              <w:pStyle w:val="2"/>
            </w:pPr>
            <w:r>
              <w:rPr>
                <w:rFonts w:hint="eastAsia" w:ascii="宋体" w:hAnsi="宋体" w:cs="宋体"/>
                <w:color w:val="000000"/>
                <w:kern w:val="0"/>
                <w:szCs w:val="21"/>
              </w:rPr>
              <w:t>采样地点：渡头村</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w:t>
            </w:r>
          </w:p>
        </w:tc>
        <w:tc>
          <w:tcPr>
            <w:tcW w:w="1593" w:type="dxa"/>
            <w:gridSpan w:val="2"/>
            <w:vMerge w:val="continue"/>
            <w:tcBorders>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1个农村生活污染控制断面</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pPr>
            <w:r>
              <w:rPr>
                <w:rFonts w:hint="eastAsia"/>
              </w:rPr>
              <w:t>监测因子：硝酸盐、高锰酸盐指数、COD、NH3-N、总磷、总氮、流量</w:t>
            </w:r>
          </w:p>
          <w:p>
            <w:pPr>
              <w:pStyle w:val="2"/>
              <w:rPr>
                <w:rFonts w:ascii="宋体" w:hAnsi="宋体" w:cs="宋体"/>
                <w:color w:val="000000"/>
                <w:kern w:val="0"/>
                <w:szCs w:val="21"/>
              </w:rPr>
            </w:pPr>
            <w:r>
              <w:rPr>
                <w:rFonts w:hint="eastAsia" w:ascii="宋体" w:hAnsi="宋体" w:cs="宋体"/>
                <w:color w:val="000000"/>
                <w:kern w:val="0"/>
                <w:szCs w:val="21"/>
              </w:rPr>
              <w:t>采样地点：向家村向家水库</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w:t>
            </w:r>
          </w:p>
        </w:tc>
        <w:tc>
          <w:tcPr>
            <w:tcW w:w="1593" w:type="dxa"/>
            <w:gridSpan w:val="2"/>
            <w:vMerge w:val="continue"/>
            <w:tcBorders>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1个入境断面</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2"/>
              <w:rPr>
                <w:rFonts w:ascii="宋体" w:hAnsi="宋体" w:cs="宋体"/>
                <w:color w:val="000000"/>
                <w:kern w:val="0"/>
                <w:szCs w:val="21"/>
              </w:rPr>
            </w:pPr>
            <w:r>
              <w:rPr>
                <w:rFonts w:hint="eastAsia" w:ascii="宋体" w:hAnsi="宋体" w:cs="宋体"/>
                <w:color w:val="000000"/>
                <w:kern w:val="0"/>
                <w:szCs w:val="21"/>
              </w:rPr>
              <w:t>《地表水环境质量标准》表1中基本项目24项，再加流量和硝酸盐</w:t>
            </w:r>
          </w:p>
          <w:p>
            <w:pPr>
              <w:pStyle w:val="2"/>
              <w:rPr>
                <w:rFonts w:ascii="宋体" w:hAnsi="宋体" w:cs="宋体"/>
                <w:color w:val="000000"/>
                <w:kern w:val="0"/>
                <w:szCs w:val="21"/>
              </w:rPr>
            </w:pPr>
            <w:r>
              <w:rPr>
                <w:rFonts w:hint="eastAsia" w:ascii="宋体" w:hAnsi="宋体" w:cs="宋体"/>
                <w:color w:val="000000"/>
                <w:kern w:val="0"/>
                <w:szCs w:val="21"/>
              </w:rPr>
              <w:t>采样地点：乔家村渡口</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w:t>
            </w:r>
          </w:p>
        </w:tc>
        <w:tc>
          <w:tcPr>
            <w:tcW w:w="1593" w:type="dxa"/>
            <w:gridSpan w:val="2"/>
            <w:vMerge w:val="continue"/>
            <w:tcBorders>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1个出境断面</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2"/>
              <w:rPr>
                <w:rFonts w:ascii="宋体" w:hAnsi="宋体" w:cs="宋体"/>
                <w:color w:val="000000"/>
                <w:kern w:val="0"/>
                <w:szCs w:val="21"/>
              </w:rPr>
            </w:pPr>
            <w:r>
              <w:rPr>
                <w:rFonts w:hint="eastAsia" w:ascii="宋体" w:hAnsi="宋体" w:cs="宋体"/>
                <w:color w:val="000000"/>
                <w:kern w:val="0"/>
                <w:szCs w:val="21"/>
              </w:rPr>
              <w:t>《地表水环境质量标准》表1中基本项目24项，再加流量和硝酸盐</w:t>
            </w:r>
          </w:p>
          <w:p>
            <w:pPr>
              <w:pStyle w:val="2"/>
              <w:rPr>
                <w:rFonts w:ascii="宋体" w:hAnsi="宋体" w:cs="宋体"/>
                <w:color w:val="000000"/>
                <w:kern w:val="0"/>
                <w:szCs w:val="21"/>
              </w:rPr>
            </w:pPr>
            <w:r>
              <w:rPr>
                <w:rFonts w:hint="eastAsia" w:ascii="宋体" w:hAnsi="宋体" w:cs="宋体"/>
                <w:color w:val="000000"/>
                <w:kern w:val="0"/>
                <w:szCs w:val="21"/>
              </w:rPr>
              <w:t>采样地点：渡头村</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w:t>
            </w:r>
          </w:p>
        </w:tc>
        <w:tc>
          <w:tcPr>
            <w:tcW w:w="1593" w:type="dxa"/>
            <w:gridSpan w:val="2"/>
            <w:vMerge w:val="continue"/>
            <w:tcBorders>
              <w:left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1个重点水库</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2"/>
              <w:rPr>
                <w:rFonts w:ascii="宋体" w:hAnsi="宋体" w:cs="宋体"/>
                <w:color w:val="000000"/>
                <w:kern w:val="0"/>
                <w:szCs w:val="21"/>
              </w:rPr>
            </w:pPr>
            <w:r>
              <w:rPr>
                <w:rFonts w:hint="eastAsia" w:ascii="宋体" w:hAnsi="宋体" w:cs="宋体"/>
                <w:color w:val="000000"/>
                <w:kern w:val="0"/>
                <w:szCs w:val="21"/>
              </w:rPr>
              <w:t>《地表水环境质量标准》表1中基本项目24项，再加流量和硝酸盐</w:t>
            </w:r>
          </w:p>
          <w:p>
            <w:pPr>
              <w:pStyle w:val="2"/>
              <w:rPr>
                <w:rFonts w:ascii="宋体" w:hAnsi="宋体" w:cs="宋体"/>
                <w:color w:val="000000"/>
                <w:kern w:val="0"/>
                <w:szCs w:val="21"/>
              </w:rPr>
            </w:pPr>
            <w:r>
              <w:rPr>
                <w:rFonts w:hint="eastAsia" w:ascii="宋体" w:hAnsi="宋体" w:cs="宋体"/>
                <w:color w:val="000000"/>
                <w:kern w:val="0"/>
                <w:szCs w:val="21"/>
              </w:rPr>
              <w:t>采样地点：六都寨水库</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w:t>
            </w:r>
          </w:p>
        </w:tc>
        <w:tc>
          <w:tcPr>
            <w:tcW w:w="1593" w:type="dxa"/>
            <w:gridSpan w:val="2"/>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jc w:val="center"/>
        </w:trPr>
        <w:tc>
          <w:tcPr>
            <w:tcW w:w="93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1个农田灌溉</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2"/>
              <w:rPr>
                <w:rFonts w:ascii="宋体" w:hAnsi="宋体" w:cs="宋体"/>
                <w:color w:val="000000"/>
                <w:kern w:val="0"/>
                <w:szCs w:val="21"/>
              </w:rPr>
            </w:pPr>
            <w:r>
              <w:rPr>
                <w:rFonts w:hint="eastAsia" w:ascii="宋体" w:hAnsi="宋体" w:cs="宋体"/>
                <w:color w:val="000000"/>
                <w:kern w:val="0"/>
                <w:szCs w:val="21"/>
              </w:rPr>
              <w:t>《农田灌溉水质标准》表1中基本控制项目16项</w:t>
            </w:r>
          </w:p>
          <w:p>
            <w:pPr>
              <w:pStyle w:val="2"/>
              <w:rPr>
                <w:rFonts w:ascii="宋体" w:hAnsi="宋体" w:cs="宋体"/>
                <w:color w:val="000000"/>
                <w:kern w:val="0"/>
                <w:szCs w:val="21"/>
              </w:rPr>
            </w:pPr>
            <w:r>
              <w:rPr>
                <w:rFonts w:hint="eastAsia" w:ascii="宋体" w:hAnsi="宋体" w:cs="宋体"/>
                <w:color w:val="000000"/>
                <w:kern w:val="0"/>
                <w:szCs w:val="21"/>
              </w:rPr>
              <w:t>采样地点：六都寨水库</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1个</w:t>
            </w:r>
          </w:p>
        </w:tc>
        <w:tc>
          <w:tcPr>
            <w:tcW w:w="1593"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Cs w:val="21"/>
              </w:rPr>
            </w:pPr>
            <w:r>
              <w:rPr>
                <w:rFonts w:hint="eastAsia" w:ascii="宋体" w:hAnsi="宋体" w:cs="宋体"/>
                <w:color w:val="000000"/>
                <w:kern w:val="0"/>
                <w:szCs w:val="21"/>
              </w:rPr>
              <w:t>按照相关采样技术标准进行采样。全年2次；半年/次</w:t>
            </w:r>
          </w:p>
        </w:tc>
      </w:tr>
      <w:tr>
        <w:tblPrEx>
          <w:tblCellMar>
            <w:top w:w="0" w:type="dxa"/>
            <w:left w:w="0" w:type="dxa"/>
            <w:bottom w:w="0" w:type="dxa"/>
            <w:right w:w="0" w:type="dxa"/>
          </w:tblCellMar>
        </w:tblPrEx>
        <w:trPr>
          <w:trHeight w:val="467" w:hRule="atLeast"/>
          <w:jc w:val="center"/>
        </w:trPr>
        <w:tc>
          <w:tcPr>
            <w:tcW w:w="10138"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b/>
                <w:color w:val="000000"/>
                <w:szCs w:val="21"/>
              </w:rPr>
            </w:pPr>
            <w:r>
              <w:rPr>
                <w:rFonts w:hint="eastAsia" w:ascii="宋体" w:hAnsi="宋体" w:cs="宋体"/>
                <w:b/>
                <w:color w:val="000000"/>
                <w:kern w:val="0"/>
                <w:szCs w:val="21"/>
              </w:rPr>
              <w:t>三、农村环境质量试点监测：1个</w:t>
            </w:r>
          </w:p>
        </w:tc>
      </w:tr>
      <w:tr>
        <w:tblPrEx>
          <w:tblCellMar>
            <w:top w:w="0" w:type="dxa"/>
            <w:left w:w="0" w:type="dxa"/>
            <w:bottom w:w="0" w:type="dxa"/>
            <w:right w:w="0" w:type="dxa"/>
          </w:tblCellMar>
        </w:tblPrEx>
        <w:trPr>
          <w:trHeight w:val="794" w:hRule="atLeast"/>
          <w:jc w:val="center"/>
        </w:trPr>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b/>
                <w:color w:val="000000"/>
                <w:szCs w:val="21"/>
              </w:rPr>
            </w:pPr>
            <w:r>
              <w:rPr>
                <w:rStyle w:val="12"/>
                <w:lang w:eastAsia="zh-CN"/>
              </w:rPr>
              <w:t>1个</w:t>
            </w:r>
            <w:r>
              <w:rPr>
                <w:rStyle w:val="12"/>
                <w:rFonts w:hint="default"/>
              </w:rPr>
              <w:t>环境空气</w:t>
            </w:r>
            <w:r>
              <w:rPr>
                <w:rStyle w:val="12"/>
                <w:lang w:eastAsia="zh-CN"/>
              </w:rPr>
              <w:t>点位</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szCs w:val="21"/>
              </w:rPr>
            </w:pPr>
            <w:r>
              <w:rPr>
                <w:rStyle w:val="12"/>
                <w:rFonts w:hint="default"/>
              </w:rPr>
              <w:t>SO</w:t>
            </w:r>
            <w:r>
              <w:rPr>
                <w:rFonts w:hint="eastAsia" w:ascii="宋体" w:hAnsi="宋体" w:cs="宋体"/>
                <w:color w:val="000000"/>
                <w:kern w:val="0"/>
                <w:szCs w:val="21"/>
                <w:vertAlign w:val="subscript"/>
                <w:lang w:eastAsia="en-US"/>
              </w:rPr>
              <w:t>2</w:t>
            </w:r>
            <w:r>
              <w:rPr>
                <w:rStyle w:val="12"/>
                <w:rFonts w:hint="default"/>
              </w:rPr>
              <w:t>、NO</w:t>
            </w:r>
            <w:r>
              <w:rPr>
                <w:rFonts w:hint="eastAsia" w:ascii="宋体" w:hAnsi="宋体" w:cs="宋体"/>
                <w:color w:val="000000"/>
                <w:kern w:val="0"/>
                <w:szCs w:val="21"/>
                <w:vertAlign w:val="subscript"/>
                <w:lang w:eastAsia="en-US"/>
              </w:rPr>
              <w:t>2</w:t>
            </w:r>
            <w:r>
              <w:rPr>
                <w:rStyle w:val="12"/>
                <w:rFonts w:hint="default"/>
              </w:rPr>
              <w:t>、PM</w:t>
            </w:r>
            <w:r>
              <w:rPr>
                <w:rFonts w:hint="eastAsia" w:ascii="宋体" w:hAnsi="宋体" w:cs="宋体"/>
                <w:color w:val="000000"/>
                <w:kern w:val="0"/>
                <w:szCs w:val="21"/>
                <w:vertAlign w:val="subscript"/>
                <w:lang w:eastAsia="en-US"/>
              </w:rPr>
              <w:t>10</w:t>
            </w:r>
            <w:r>
              <w:rPr>
                <w:rStyle w:val="12"/>
                <w:rFonts w:hint="default"/>
              </w:rPr>
              <w:t>、PM</w:t>
            </w:r>
            <w:r>
              <w:rPr>
                <w:rFonts w:hint="eastAsia" w:ascii="宋体" w:hAnsi="宋体" w:cs="宋体"/>
                <w:color w:val="000000"/>
                <w:kern w:val="0"/>
                <w:szCs w:val="21"/>
                <w:vertAlign w:val="subscript"/>
                <w:lang w:eastAsia="en-US"/>
              </w:rPr>
              <w:t>2.5</w:t>
            </w:r>
            <w:r>
              <w:rPr>
                <w:rStyle w:val="12"/>
                <w:rFonts w:hint="default"/>
              </w:rPr>
              <w:t>、CO、O</w:t>
            </w:r>
            <w:r>
              <w:rPr>
                <w:rFonts w:hint="eastAsia" w:ascii="宋体" w:hAnsi="宋体" w:cs="宋体"/>
                <w:color w:val="000000"/>
                <w:kern w:val="0"/>
                <w:szCs w:val="21"/>
                <w:vertAlign w:val="subscript"/>
                <w:lang w:eastAsia="en-US"/>
              </w:rPr>
              <w:t>3</w:t>
            </w:r>
            <w:r>
              <w:rPr>
                <w:rStyle w:val="12"/>
                <w:rFonts w:hint="default"/>
              </w:rPr>
              <w:t>（共6项）（岩口镇向家村）</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themeColor="text1"/>
                <w:szCs w:val="21"/>
              </w:rPr>
            </w:pPr>
            <w:r>
              <w:rPr>
                <w:rFonts w:hint="eastAsia" w:ascii="宋体" w:hAnsi="宋体" w:cs="宋体"/>
                <w:color w:val="000000" w:themeColor="text1"/>
                <w:kern w:val="0"/>
                <w:szCs w:val="21"/>
              </w:rPr>
              <w:t>1个（村庄）</w:t>
            </w:r>
          </w:p>
        </w:tc>
        <w:tc>
          <w:tcPr>
            <w:tcW w:w="144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themeColor="text1"/>
                <w:szCs w:val="21"/>
              </w:rPr>
            </w:pPr>
            <w:r>
              <w:rPr>
                <w:rFonts w:hint="eastAsia" w:ascii="宋体" w:hAnsi="宋体" w:cs="宋体"/>
                <w:color w:val="000000"/>
                <w:kern w:val="0"/>
                <w:szCs w:val="21"/>
              </w:rPr>
              <w:t>按照相关采样技术标准进行采样，</w:t>
            </w:r>
            <w:r>
              <w:rPr>
                <w:rFonts w:hint="eastAsia" w:ascii="宋体" w:hAnsi="宋体" w:cs="宋体"/>
                <w:color w:val="000000" w:themeColor="text1"/>
                <w:kern w:val="0"/>
                <w:szCs w:val="21"/>
              </w:rPr>
              <w:t>1次/天*5天；全年4次，1次/季</w:t>
            </w:r>
          </w:p>
        </w:tc>
      </w:tr>
      <w:tr>
        <w:tblPrEx>
          <w:tblCellMar>
            <w:top w:w="0" w:type="dxa"/>
            <w:left w:w="0" w:type="dxa"/>
            <w:bottom w:w="0" w:type="dxa"/>
            <w:right w:w="0" w:type="dxa"/>
          </w:tblCellMar>
        </w:tblPrEx>
        <w:trPr>
          <w:jc w:val="center"/>
        </w:trPr>
        <w:tc>
          <w:tcPr>
            <w:tcW w:w="1080" w:type="dxa"/>
            <w:gridSpan w:val="2"/>
            <w:tcBorders>
              <w:top w:val="single" w:color="000000" w:sz="4" w:space="0"/>
              <w:left w:val="single" w:color="000000" w:sz="4" w:space="0"/>
              <w:bottom w:val="single" w:color="000000" w:sz="4" w:space="0"/>
              <w:right w:val="nil"/>
            </w:tcBorders>
            <w:tcMar>
              <w:top w:w="15" w:type="dxa"/>
              <w:left w:w="15" w:type="dxa"/>
              <w:right w:w="15" w:type="dxa"/>
            </w:tcMar>
            <w:vAlign w:val="center"/>
          </w:tcPr>
          <w:p>
            <w:pPr>
              <w:widowControl/>
              <w:jc w:val="center"/>
              <w:textAlignment w:val="center"/>
              <w:rPr>
                <w:rFonts w:ascii="宋体" w:hAnsi="宋体" w:cs="宋体"/>
                <w:color w:val="000000" w:themeColor="text1"/>
                <w:kern w:val="0"/>
                <w:szCs w:val="21"/>
              </w:rPr>
            </w:pPr>
            <w:r>
              <w:rPr>
                <w:rFonts w:hint="eastAsia" w:ascii="宋体" w:hAnsi="宋体" w:cs="宋体"/>
                <w:color w:val="000000" w:themeColor="text1"/>
                <w:kern w:val="0"/>
                <w:szCs w:val="21"/>
              </w:rPr>
              <w:t>1个村庄土壤</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color w:val="000000" w:themeColor="text1"/>
                <w:kern w:val="0"/>
                <w:szCs w:val="21"/>
              </w:rPr>
            </w:pPr>
            <w:r>
              <w:rPr>
                <w:rFonts w:hint="eastAsia" w:ascii="宋体" w:hAnsi="宋体" w:cs="宋体"/>
                <w:color w:val="000000" w:themeColor="text1"/>
                <w:kern w:val="0"/>
                <w:szCs w:val="21"/>
              </w:rPr>
              <w:t>pH、阳离子交换量、镉、汞、砷、铅、铬、铜、镍、锌（共10项）</w:t>
            </w:r>
            <w:r>
              <w:rPr>
                <w:rStyle w:val="12"/>
                <w:rFonts w:hint="default"/>
                <w:color w:val="000000" w:themeColor="text1"/>
                <w:lang w:eastAsia="zh-CN"/>
              </w:rPr>
              <w:t xml:space="preserve">（岩口镇向家村） </w:t>
            </w:r>
            <w:r>
              <w:rPr>
                <w:rFonts w:hint="eastAsia" w:ascii="宋体" w:hAnsi="宋体" w:cs="宋体"/>
                <w:color w:val="000000" w:themeColor="text1"/>
                <w:kern w:val="0"/>
                <w:szCs w:val="21"/>
              </w:rPr>
              <w:t>（如：选1个基本农田）</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themeColor="text1"/>
                <w:kern w:val="0"/>
                <w:szCs w:val="21"/>
              </w:rPr>
            </w:pPr>
            <w:r>
              <w:rPr>
                <w:rFonts w:hint="eastAsia" w:ascii="宋体" w:hAnsi="宋体" w:cs="宋体"/>
                <w:color w:val="000000" w:themeColor="text1"/>
                <w:kern w:val="0"/>
                <w:szCs w:val="21"/>
              </w:rPr>
              <w:t>1个（村庄）</w:t>
            </w:r>
          </w:p>
        </w:tc>
        <w:tc>
          <w:tcPr>
            <w:tcW w:w="144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themeColor="text1"/>
                <w:kern w:val="0"/>
                <w:szCs w:val="21"/>
              </w:rPr>
            </w:pPr>
            <w:r>
              <w:rPr>
                <w:rFonts w:hint="eastAsia" w:ascii="宋体" w:hAnsi="宋体" w:cs="宋体"/>
                <w:color w:val="000000" w:themeColor="text1"/>
                <w:kern w:val="0"/>
                <w:szCs w:val="21"/>
              </w:rPr>
              <w:t xml:space="preserve">1次/年（1-8月采样） </w:t>
            </w:r>
          </w:p>
        </w:tc>
      </w:tr>
      <w:tr>
        <w:tblPrEx>
          <w:tblCellMar>
            <w:top w:w="0" w:type="dxa"/>
            <w:left w:w="0" w:type="dxa"/>
            <w:bottom w:w="0" w:type="dxa"/>
            <w:right w:w="0" w:type="dxa"/>
          </w:tblCellMar>
        </w:tblPrEx>
        <w:trPr>
          <w:jc w:val="center"/>
        </w:trPr>
        <w:tc>
          <w:tcPr>
            <w:tcW w:w="1080" w:type="dxa"/>
            <w:gridSpan w:val="2"/>
            <w:tcBorders>
              <w:top w:val="single" w:color="000000" w:sz="4" w:space="0"/>
              <w:left w:val="single" w:color="000000" w:sz="4" w:space="0"/>
              <w:bottom w:val="single" w:color="000000" w:sz="4" w:space="0"/>
              <w:right w:val="nil"/>
            </w:tcBorders>
            <w:tcMar>
              <w:top w:w="15" w:type="dxa"/>
              <w:left w:w="15" w:type="dxa"/>
              <w:right w:w="15" w:type="dxa"/>
            </w:tcMar>
            <w:vAlign w:val="center"/>
          </w:tcPr>
          <w:p>
            <w:pPr>
              <w:widowControl/>
              <w:jc w:val="center"/>
              <w:textAlignment w:val="center"/>
              <w:rPr>
                <w:rFonts w:ascii="宋体" w:hAnsi="宋体" w:cs="宋体"/>
                <w:color w:val="000000" w:themeColor="text1"/>
                <w:kern w:val="0"/>
                <w:szCs w:val="21"/>
              </w:rPr>
            </w:pPr>
            <w:r>
              <w:rPr>
                <w:rFonts w:hint="eastAsia" w:ascii="宋体" w:hAnsi="宋体" w:cs="宋体"/>
                <w:color w:val="000000" w:themeColor="text1"/>
                <w:kern w:val="0"/>
                <w:szCs w:val="21"/>
              </w:rPr>
              <w:t>1个村庄饮用水水源地</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pPr>
            <w:r>
              <w:t>水温、PH、溶解氧、高锰酸盐指数、COD、BOD5、氨氮、总磷、总氮、铜、锌、氟化物、硒、砷、汞、镉、六价铬、铅、氰化物、挥发酚、石油类、阴离子表面活性剂、硫化物、粪大肠菌群、硫酸盐、氯化物、硝酸盐、铁、锰、（</w:t>
            </w:r>
            <w:r>
              <w:rPr>
                <w:rFonts w:hint="eastAsia"/>
              </w:rPr>
              <w:t>29项，GB3838-2002中表1、表2全部项目）</w:t>
            </w:r>
          </w:p>
          <w:p>
            <w:pPr>
              <w:widowControl/>
              <w:jc w:val="left"/>
              <w:textAlignment w:val="center"/>
            </w:pPr>
            <w:r>
              <w:rPr>
                <w:rStyle w:val="12"/>
                <w:rFonts w:hint="default"/>
              </w:rPr>
              <w:t>（岩口镇向家村）</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themeColor="text1"/>
                <w:kern w:val="0"/>
                <w:szCs w:val="21"/>
              </w:rPr>
            </w:pPr>
            <w:r>
              <w:rPr>
                <w:rFonts w:hint="eastAsia" w:ascii="宋体" w:hAnsi="宋体" w:cs="宋体"/>
                <w:color w:val="000000" w:themeColor="text1"/>
                <w:kern w:val="0"/>
                <w:szCs w:val="21"/>
              </w:rPr>
              <w:t>1个（村庄）</w:t>
            </w:r>
          </w:p>
        </w:tc>
        <w:tc>
          <w:tcPr>
            <w:tcW w:w="144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themeColor="text1"/>
                <w:kern w:val="0"/>
                <w:szCs w:val="21"/>
              </w:rPr>
            </w:pPr>
            <w:r>
              <w:rPr>
                <w:rFonts w:hint="eastAsia" w:ascii="宋体" w:hAnsi="宋体" w:cs="宋体"/>
                <w:color w:val="000000"/>
                <w:kern w:val="0"/>
                <w:szCs w:val="21"/>
              </w:rPr>
              <w:t>按照相关采样技术标准进行采样。全年4次；1季/次；</w:t>
            </w:r>
          </w:p>
        </w:tc>
      </w:tr>
      <w:tr>
        <w:tblPrEx>
          <w:tblCellMar>
            <w:top w:w="0" w:type="dxa"/>
            <w:left w:w="0" w:type="dxa"/>
            <w:bottom w:w="0" w:type="dxa"/>
            <w:right w:w="0" w:type="dxa"/>
          </w:tblCellMar>
        </w:tblPrEx>
        <w:trPr>
          <w:jc w:val="center"/>
        </w:trPr>
        <w:tc>
          <w:tcPr>
            <w:tcW w:w="10138"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cs="宋体"/>
                <w:b/>
                <w:color w:val="000000"/>
                <w:szCs w:val="21"/>
              </w:rPr>
            </w:pPr>
            <w:r>
              <w:rPr>
                <w:rFonts w:hint="eastAsia" w:ascii="宋体" w:hAnsi="宋体" w:cs="宋体"/>
                <w:b/>
                <w:color w:val="000000"/>
                <w:kern w:val="0"/>
                <w:szCs w:val="21"/>
              </w:rPr>
              <w:t>五、入河排污口（18个）</w:t>
            </w:r>
          </w:p>
        </w:tc>
      </w:tr>
      <w:tr>
        <w:tblPrEx>
          <w:tblCellMar>
            <w:top w:w="0" w:type="dxa"/>
            <w:left w:w="0" w:type="dxa"/>
            <w:bottom w:w="0" w:type="dxa"/>
            <w:right w:w="0" w:type="dxa"/>
          </w:tblCellMar>
        </w:tblPrEx>
        <w:trPr>
          <w:jc w:val="center"/>
        </w:trPr>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18个入河排污口</w:t>
            </w:r>
          </w:p>
        </w:tc>
        <w:tc>
          <w:tcPr>
            <w:tcW w:w="652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Style w:val="12"/>
                <w:rFonts w:hint="default"/>
                <w:lang w:eastAsia="zh-CN"/>
              </w:rPr>
            </w:pPr>
            <w:r>
              <w:rPr>
                <w:rStyle w:val="12"/>
                <w:lang w:eastAsia="zh-CN"/>
              </w:rPr>
              <w:t>监测因子：流量、水温、pH、化学需氧量、氨氮、总磷、总氮（7项）</w:t>
            </w:r>
          </w:p>
          <w:p>
            <w:pPr>
              <w:widowControl/>
              <w:jc w:val="left"/>
              <w:textAlignment w:val="center"/>
              <w:rPr>
                <w:rFonts w:ascii="宋体" w:hAnsi="宋体" w:cs="宋体"/>
                <w:color w:val="000000"/>
                <w:szCs w:val="21"/>
              </w:rPr>
            </w:pPr>
            <w:r>
              <w:rPr>
                <w:rFonts w:hint="eastAsia" w:ascii="宋体" w:hAnsi="宋体" w:cs="宋体"/>
                <w:color w:val="000000"/>
                <w:kern w:val="0"/>
                <w:szCs w:val="21"/>
              </w:rPr>
              <w:t>点位名称：湖南南方水泥有限公司混合入河排污口、隆回县第二中学入河排污口、隆回县高坪镇中学生活入河排污口、隆回县荷香桥镇二居委会生活入河排污口、隆回县荷香桥镇一居委会生活入河排污口、隆回县金石桥镇城镇生活入河排污口、隆回县六都寨镇新民开发区生活入河排污口、隆回县祁都造纸厂工业入河排污口、隆回县山界回族乡新栗村七步井生活入河排污口、隆回县滩头镇造纸厂工业入河排污口、隆回县桃洪镇新隆社区巴黎新城生活入河排污口、隆回县桃洪镇石门乡生活入河排污口、隆回县小沙江镇居委会生活入河排污口、隆回县岩口镇新坪居委会生活入河排污口、隆回县雨山镇居委会生活入河排污口、隆回县污水处理厂混合入河排污口、隆回县桃洪镇恒丰家园生活入河排污口、湖南湘丰特种纸业有限公司入河排污口</w:t>
            </w:r>
          </w:p>
        </w:tc>
        <w:tc>
          <w:tcPr>
            <w:tcW w:w="108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Style w:val="12"/>
                <w:rFonts w:hint="default"/>
              </w:rPr>
              <w:t>1</w:t>
            </w:r>
            <w:r>
              <w:rPr>
                <w:rStyle w:val="12"/>
                <w:lang w:eastAsia="zh-CN"/>
              </w:rPr>
              <w:t>8</w:t>
            </w:r>
            <w:r>
              <w:rPr>
                <w:rStyle w:val="12"/>
                <w:rFonts w:hint="default"/>
              </w:rPr>
              <w:t>个</w:t>
            </w:r>
          </w:p>
        </w:tc>
        <w:tc>
          <w:tcPr>
            <w:tcW w:w="144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按照相关采样技术标准进行采样，</w:t>
            </w:r>
            <w:r>
              <w:rPr>
                <w:rFonts w:hint="eastAsia" w:ascii="宋体" w:hAnsi="宋体" w:cs="宋体"/>
                <w:color w:val="000000"/>
                <w:szCs w:val="21"/>
              </w:rPr>
              <w:t>全年2次，半年/次</w:t>
            </w:r>
          </w:p>
        </w:tc>
      </w:tr>
    </w:tbl>
    <w:p>
      <w:pPr>
        <w:pStyle w:val="6"/>
        <w:spacing w:after="0" w:line="440" w:lineRule="exact"/>
        <w:ind w:left="0" w:leftChars="0" w:firstLine="422"/>
        <w:rPr>
          <w:rFonts w:ascii="宋体" w:hAnsi="宋体" w:cs="宋体"/>
          <w:szCs w:val="21"/>
        </w:rPr>
      </w:pPr>
      <w:r>
        <w:rPr>
          <w:rFonts w:hint="eastAsia" w:ascii="宋体" w:hAnsi="宋体" w:cs="宋体"/>
          <w:b/>
          <w:bCs/>
          <w:szCs w:val="21"/>
        </w:rPr>
        <w:t>六、综合资料:</w:t>
      </w:r>
    </w:p>
    <w:p>
      <w:pPr>
        <w:pStyle w:val="6"/>
        <w:spacing w:after="0" w:line="440" w:lineRule="exact"/>
        <w:ind w:left="0" w:leftChars="0"/>
        <w:rPr>
          <w:rFonts w:ascii="宋体" w:hAnsi="宋体" w:cs="宋体"/>
          <w:szCs w:val="21"/>
        </w:rPr>
      </w:pPr>
      <w:r>
        <w:rPr>
          <w:rFonts w:hint="eastAsia" w:ascii="宋体" w:hAnsi="宋体" w:cs="宋体"/>
          <w:szCs w:val="21"/>
        </w:rPr>
        <w:t>1、农村环境监测数据每季度报送一次；每季度应在第一个月采完该季度的样品，采样7个工作日内把相关报告、分析原始记录发扫描件给采购方。</w:t>
      </w:r>
    </w:p>
    <w:p>
      <w:pPr>
        <w:pStyle w:val="6"/>
        <w:spacing w:after="0" w:line="440" w:lineRule="exact"/>
        <w:ind w:left="0" w:leftChars="0" w:firstLine="210" w:firstLineChars="100"/>
        <w:rPr>
          <w:rFonts w:ascii="宋体" w:hAnsi="宋体" w:cs="宋体"/>
          <w:szCs w:val="21"/>
        </w:rPr>
      </w:pPr>
      <w:r>
        <w:rPr>
          <w:rFonts w:hint="eastAsia" w:ascii="宋体" w:hAnsi="宋体" w:cs="宋体"/>
          <w:szCs w:val="21"/>
        </w:rPr>
        <w:t>2、每年编制农村环境试点监测现状评估报告。</w:t>
      </w:r>
    </w:p>
    <w:p>
      <w:pPr>
        <w:pStyle w:val="6"/>
        <w:spacing w:after="0" w:line="440" w:lineRule="exact"/>
        <w:ind w:left="0" w:leftChars="0" w:firstLine="422"/>
        <w:rPr>
          <w:rFonts w:ascii="宋体" w:hAnsi="宋体" w:cs="宋体"/>
          <w:b/>
          <w:bCs/>
          <w:szCs w:val="21"/>
        </w:rPr>
      </w:pPr>
      <w:r>
        <w:rPr>
          <w:rFonts w:hint="eastAsia" w:ascii="宋体" w:hAnsi="宋体" w:cs="宋体"/>
          <w:b/>
          <w:bCs/>
          <w:szCs w:val="21"/>
        </w:rPr>
        <w:t>七、质控：</w:t>
      </w:r>
    </w:p>
    <w:p>
      <w:pPr>
        <w:pStyle w:val="6"/>
        <w:spacing w:after="0" w:line="440" w:lineRule="exact"/>
        <w:ind w:left="0" w:leftChars="0"/>
        <w:rPr>
          <w:rFonts w:ascii="宋体" w:hAnsi="宋体" w:cs="宋体"/>
          <w:szCs w:val="21"/>
        </w:rPr>
      </w:pPr>
      <w:r>
        <w:rPr>
          <w:rFonts w:hint="eastAsia" w:ascii="宋体" w:hAnsi="宋体" w:cs="宋体"/>
          <w:szCs w:val="21"/>
        </w:rPr>
        <w:t>1、采购方对委托监测项目进行全程质控，需要成交供应商提供相关质控物品的经费，如标液、原始记录、照片等。</w:t>
      </w:r>
    </w:p>
    <w:p>
      <w:pPr>
        <w:pStyle w:val="6"/>
        <w:spacing w:after="0" w:line="440" w:lineRule="exact"/>
        <w:ind w:left="0" w:leftChars="0"/>
        <w:rPr>
          <w:rFonts w:ascii="宋体" w:hAnsi="宋体" w:cs="宋体"/>
          <w:szCs w:val="21"/>
        </w:rPr>
      </w:pPr>
      <w:r>
        <w:rPr>
          <w:rFonts w:hint="eastAsia" w:ascii="宋体" w:hAnsi="宋体" w:cs="宋体"/>
          <w:szCs w:val="21"/>
        </w:rPr>
        <w:t>2、成交供应商应在采样当天把采样相关的原始记录、照片等发给采购方；采样7个工作日内把相关报告、分析原始记录发扫描件给采购方。</w:t>
      </w:r>
    </w:p>
    <w:p>
      <w:pPr>
        <w:spacing w:line="360" w:lineRule="auto"/>
        <w:ind w:firstLine="422" w:firstLineChars="200"/>
        <w:rPr>
          <w:rFonts w:ascii="宋体" w:hAnsi="宋体" w:cs="宋体"/>
          <w:b/>
          <w:bCs/>
          <w:szCs w:val="21"/>
        </w:rPr>
      </w:pPr>
      <w:r>
        <w:rPr>
          <w:rFonts w:hint="eastAsia" w:ascii="宋体" w:hAnsi="宋体" w:cs="宋体"/>
          <w:b/>
          <w:bCs/>
          <w:szCs w:val="21"/>
        </w:rPr>
        <w:t>八、其他需要说明的事项：</w:t>
      </w:r>
    </w:p>
    <w:p>
      <w:pPr>
        <w:pStyle w:val="6"/>
        <w:ind w:left="0" w:leftChars="0" w:firstLine="0" w:firstLineChars="0"/>
        <w:rPr>
          <w:rFonts w:ascii="宋体" w:hAnsi="宋体" w:cs="宋体"/>
          <w:color w:val="FF0000"/>
          <w:szCs w:val="21"/>
        </w:rPr>
      </w:pPr>
      <w:r>
        <w:rPr>
          <w:rFonts w:hint="eastAsia" w:ascii="宋体" w:hAnsi="宋体" w:cs="宋体"/>
          <w:szCs w:val="21"/>
        </w:rPr>
        <w:t>1、供应商的报价包括全部工作所产生的相关一切费用（如资料编制和打印费、标液费等）。</w:t>
      </w:r>
    </w:p>
    <w:p>
      <w:pPr>
        <w:pStyle w:val="6"/>
        <w:ind w:left="0" w:leftChars="0" w:firstLine="0" w:firstLineChars="0"/>
        <w:rPr>
          <w:szCs w:val="21"/>
        </w:rPr>
      </w:pPr>
      <w:r>
        <w:rPr>
          <w:rFonts w:hint="eastAsia"/>
          <w:szCs w:val="21"/>
        </w:rPr>
        <w:t>2、若有检测数据异常或超标现象，及时反馈给采购方，采购方有权要求成交供应商无偿复测。</w:t>
      </w:r>
    </w:p>
    <w:p>
      <w:pPr>
        <w:pStyle w:val="6"/>
        <w:ind w:left="0" w:leftChars="0" w:firstLine="0" w:firstLineChars="0"/>
        <w:rPr>
          <w:szCs w:val="21"/>
        </w:rPr>
      </w:pPr>
      <w:r>
        <w:rPr>
          <w:rFonts w:hint="eastAsia"/>
          <w:szCs w:val="21"/>
        </w:rPr>
        <w:t>3、成交供应商负责现场采样、保存、运输、检测分析；质控由采购方负责，但质控经费由成交供应商负责；同时成交供应商要及时把监测报告和监测原始记录复印件寄往邵阳市生态环境局隆回分局存档备查。</w:t>
      </w:r>
    </w:p>
    <w:p>
      <w:pPr>
        <w:pStyle w:val="6"/>
        <w:ind w:left="0" w:leftChars="0" w:firstLine="0" w:firstLineChars="0"/>
        <w:rPr>
          <w:szCs w:val="21"/>
        </w:rPr>
      </w:pPr>
      <w:r>
        <w:rPr>
          <w:rFonts w:hint="eastAsia"/>
          <w:szCs w:val="21"/>
        </w:rPr>
        <w:t>4、成交供应商严格按照填报系统的填报规范进行系统填报及装订；</w:t>
      </w:r>
    </w:p>
    <w:p>
      <w:pPr>
        <w:pStyle w:val="6"/>
        <w:ind w:left="0" w:leftChars="0" w:firstLine="0" w:firstLineChars="0"/>
        <w:rPr>
          <w:szCs w:val="21"/>
        </w:rPr>
      </w:pPr>
      <w:r>
        <w:rPr>
          <w:rFonts w:hint="eastAsia"/>
          <w:szCs w:val="21"/>
        </w:rPr>
        <w:t>5、成交供应商按农村环境质量考核相关要求进行收集与填报，并对监测数据和收集资料的有效性进行审核、杜绝造假行为。</w:t>
      </w:r>
    </w:p>
    <w:p>
      <w:pPr>
        <w:pStyle w:val="6"/>
        <w:ind w:left="0" w:leftChars="0" w:firstLine="0" w:firstLineChars="0"/>
        <w:rPr>
          <w:szCs w:val="21"/>
        </w:rPr>
      </w:pPr>
      <w:r>
        <w:rPr>
          <w:rFonts w:hint="eastAsia"/>
          <w:szCs w:val="21"/>
        </w:rPr>
        <w:t>6、成交供应商应按邵阳市生态环境局隆回分局相关要求，按时按质按量开展相关工作。</w:t>
      </w:r>
    </w:p>
    <w:p>
      <w:pPr>
        <w:pStyle w:val="6"/>
        <w:ind w:left="0" w:leftChars="0" w:firstLine="0" w:firstLineChars="0"/>
        <w:rPr>
          <w:szCs w:val="21"/>
        </w:rPr>
      </w:pPr>
      <w:r>
        <w:rPr>
          <w:rFonts w:hint="eastAsia"/>
          <w:szCs w:val="21"/>
        </w:rPr>
        <w:t>7、</w:t>
      </w:r>
      <w:r>
        <w:rPr>
          <w:rFonts w:hint="eastAsia"/>
          <w:color w:val="FF0000"/>
          <w:szCs w:val="21"/>
        </w:rPr>
        <w:t>如任务调整，费用包干结算。</w:t>
      </w:r>
    </w:p>
    <w:p>
      <w:pPr>
        <w:pStyle w:val="6"/>
        <w:ind w:left="0" w:leftChars="0" w:firstLine="0" w:firstLineChars="0"/>
        <w:rPr>
          <w:szCs w:val="21"/>
        </w:rPr>
      </w:pPr>
      <w:r>
        <w:rPr>
          <w:rFonts w:hint="eastAsia"/>
          <w:szCs w:val="21"/>
        </w:rPr>
        <w:t>8、如成交供应商在开展工作中，被市级以上（包括市级）部门通报，邵阳市生态环境局隆回分局有权无条件解除合同，已经开展工作相关经费一概不予承担。</w:t>
      </w:r>
    </w:p>
    <w:p>
      <w:pPr>
        <w:pStyle w:val="6"/>
        <w:spacing w:after="0" w:line="360" w:lineRule="auto"/>
        <w:ind w:left="0" w:leftChars="0" w:firstLine="0" w:firstLineChars="0"/>
        <w:rPr>
          <w:rFonts w:ascii="宋体" w:hAnsi="宋体" w:cs="宋体"/>
          <w:szCs w:val="21"/>
        </w:rPr>
      </w:pPr>
      <w:r>
        <w:rPr>
          <w:rFonts w:hint="eastAsia" w:ascii="宋体" w:hAnsi="宋体" w:cs="宋体"/>
          <w:szCs w:val="21"/>
        </w:rPr>
        <w:t>9、采购方不组织现场踏勘，供应商在投标前需踏勘现场的，有关费用自理，踏勘期间发生的意外自负。</w:t>
      </w:r>
    </w:p>
    <w:p>
      <w:pPr>
        <w:pStyle w:val="6"/>
        <w:spacing w:after="0" w:line="360" w:lineRule="auto"/>
        <w:ind w:left="0" w:leftChars="0" w:firstLine="0" w:firstLineChars="0"/>
        <w:rPr>
          <w:rFonts w:ascii="宋体" w:hAnsi="宋体" w:cs="宋体"/>
          <w:szCs w:val="21"/>
        </w:rPr>
      </w:pPr>
      <w:r>
        <w:rPr>
          <w:rFonts w:hint="eastAsia" w:ascii="宋体" w:hAnsi="宋体" w:cs="宋体"/>
          <w:szCs w:val="21"/>
        </w:rPr>
        <w:t>10、成交单位负责其派出的所有工作人员的人身意外保险，并承担所有监测过程中的一切安全责任。</w:t>
      </w:r>
    </w:p>
    <w:p>
      <w:pPr>
        <w:pStyle w:val="6"/>
        <w:spacing w:after="0" w:line="360" w:lineRule="auto"/>
        <w:ind w:left="0" w:leftChars="0" w:firstLine="0" w:firstLineChars="0"/>
        <w:rPr>
          <w:rFonts w:ascii="宋体" w:hAnsi="宋体" w:cs="宋体"/>
          <w:szCs w:val="21"/>
        </w:rPr>
      </w:pPr>
      <w:r>
        <w:rPr>
          <w:rFonts w:hint="eastAsia" w:ascii="宋体" w:hAnsi="宋体" w:cs="宋体"/>
          <w:szCs w:val="21"/>
        </w:rPr>
        <w:t>11、采样原则上在每个季度的第一个月采样，采样后7个工作日内把监测报告电子版发委托方，采样后15个工作日把纸质版监测报告和原始记录（复印件）邮寄给委托方，非特殊情况不得延迟，</w:t>
      </w:r>
      <w:r>
        <w:rPr>
          <w:rFonts w:hint="eastAsia" w:ascii="宋体" w:hAnsi="宋体" w:cs="宋体"/>
          <w:color w:val="FF0000"/>
          <w:szCs w:val="21"/>
        </w:rPr>
        <w:t>否则以成交总价的0.5%/日处罚。</w:t>
      </w:r>
    </w:p>
    <w:p>
      <w:pPr>
        <w:pStyle w:val="6"/>
        <w:spacing w:after="0" w:line="440" w:lineRule="exact"/>
        <w:ind w:left="0" w:leftChars="0"/>
        <w:rPr>
          <w:rFonts w:ascii="宋体" w:hAnsi="宋体" w:cs="宋体"/>
          <w:szCs w:val="21"/>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ZjM2MxYzc3MTYyNmZiNTY3MTA0NDk5NjcxMDFiOTAifQ=="/>
  </w:docVars>
  <w:rsids>
    <w:rsidRoot w:val="00AF788C"/>
    <w:rsid w:val="000A7D30"/>
    <w:rsid w:val="00120FEF"/>
    <w:rsid w:val="00160435"/>
    <w:rsid w:val="001D0B2B"/>
    <w:rsid w:val="0024589C"/>
    <w:rsid w:val="00277315"/>
    <w:rsid w:val="00313760"/>
    <w:rsid w:val="0034145A"/>
    <w:rsid w:val="003C7B22"/>
    <w:rsid w:val="003E296C"/>
    <w:rsid w:val="00407DB6"/>
    <w:rsid w:val="00433160"/>
    <w:rsid w:val="004A175D"/>
    <w:rsid w:val="004C0E2A"/>
    <w:rsid w:val="00517152"/>
    <w:rsid w:val="00522DAE"/>
    <w:rsid w:val="00523228"/>
    <w:rsid w:val="005463D6"/>
    <w:rsid w:val="00581209"/>
    <w:rsid w:val="00595A3A"/>
    <w:rsid w:val="00666E8F"/>
    <w:rsid w:val="006C7832"/>
    <w:rsid w:val="006D75D3"/>
    <w:rsid w:val="007409A8"/>
    <w:rsid w:val="00786144"/>
    <w:rsid w:val="008A3845"/>
    <w:rsid w:val="008A4002"/>
    <w:rsid w:val="008B308E"/>
    <w:rsid w:val="008D100B"/>
    <w:rsid w:val="00967B78"/>
    <w:rsid w:val="00974D89"/>
    <w:rsid w:val="009C70D3"/>
    <w:rsid w:val="009D1C09"/>
    <w:rsid w:val="009F4AA8"/>
    <w:rsid w:val="00A95782"/>
    <w:rsid w:val="00AF788C"/>
    <w:rsid w:val="00B7125D"/>
    <w:rsid w:val="00B91094"/>
    <w:rsid w:val="00C37685"/>
    <w:rsid w:val="00C51967"/>
    <w:rsid w:val="00C76FBE"/>
    <w:rsid w:val="00C9697D"/>
    <w:rsid w:val="00CA2DEE"/>
    <w:rsid w:val="00CB138B"/>
    <w:rsid w:val="00CB2778"/>
    <w:rsid w:val="00CE1624"/>
    <w:rsid w:val="00D04706"/>
    <w:rsid w:val="00D42050"/>
    <w:rsid w:val="00D92493"/>
    <w:rsid w:val="00D9300F"/>
    <w:rsid w:val="00D94C42"/>
    <w:rsid w:val="00DF27A9"/>
    <w:rsid w:val="00E41654"/>
    <w:rsid w:val="00E45048"/>
    <w:rsid w:val="00EC22E9"/>
    <w:rsid w:val="00ED1D78"/>
    <w:rsid w:val="00EE1F1D"/>
    <w:rsid w:val="00F34BE4"/>
    <w:rsid w:val="00F463A9"/>
    <w:rsid w:val="00F552BC"/>
    <w:rsid w:val="00FA3B59"/>
    <w:rsid w:val="00FF6DF7"/>
    <w:rsid w:val="03424C28"/>
    <w:rsid w:val="059E78B7"/>
    <w:rsid w:val="0BEC180C"/>
    <w:rsid w:val="0D9F7279"/>
    <w:rsid w:val="12A9076C"/>
    <w:rsid w:val="1393281D"/>
    <w:rsid w:val="15115BF2"/>
    <w:rsid w:val="158051BA"/>
    <w:rsid w:val="15FB4D92"/>
    <w:rsid w:val="18512F5E"/>
    <w:rsid w:val="1B1A3C8D"/>
    <w:rsid w:val="1C215612"/>
    <w:rsid w:val="1FF864B4"/>
    <w:rsid w:val="212C6FC3"/>
    <w:rsid w:val="21B90933"/>
    <w:rsid w:val="22257A94"/>
    <w:rsid w:val="274E52B0"/>
    <w:rsid w:val="28433122"/>
    <w:rsid w:val="2AB323CE"/>
    <w:rsid w:val="2E7F021B"/>
    <w:rsid w:val="2F235935"/>
    <w:rsid w:val="32AA4AD2"/>
    <w:rsid w:val="32DB2E09"/>
    <w:rsid w:val="35D72A88"/>
    <w:rsid w:val="36943512"/>
    <w:rsid w:val="36CE2E17"/>
    <w:rsid w:val="3AA506B1"/>
    <w:rsid w:val="3F841033"/>
    <w:rsid w:val="3FE94CF0"/>
    <w:rsid w:val="40DE6319"/>
    <w:rsid w:val="438E51BD"/>
    <w:rsid w:val="465E2AD9"/>
    <w:rsid w:val="492E4724"/>
    <w:rsid w:val="4E5B71AA"/>
    <w:rsid w:val="4F377868"/>
    <w:rsid w:val="54CD1B8D"/>
    <w:rsid w:val="58791ABD"/>
    <w:rsid w:val="59364669"/>
    <w:rsid w:val="5E613C7A"/>
    <w:rsid w:val="5EAB1F20"/>
    <w:rsid w:val="62FF3C1F"/>
    <w:rsid w:val="644D32E5"/>
    <w:rsid w:val="64852428"/>
    <w:rsid w:val="66E52AE6"/>
    <w:rsid w:val="670757C1"/>
    <w:rsid w:val="6B722F34"/>
    <w:rsid w:val="6BEE59FB"/>
    <w:rsid w:val="6D6B7079"/>
    <w:rsid w:val="6D772D6E"/>
    <w:rsid w:val="6E71086D"/>
    <w:rsid w:val="6EC8115E"/>
    <w:rsid w:val="6F6706A4"/>
    <w:rsid w:val="7296637E"/>
    <w:rsid w:val="76DE4189"/>
    <w:rsid w:val="7895697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style>
  <w:style w:type="paragraph" w:styleId="3">
    <w:name w:val="Body Text Indent"/>
    <w:basedOn w:val="1"/>
    <w:link w:val="13"/>
    <w:autoRedefine/>
    <w:semiHidden/>
    <w:unhideWhenUsed/>
    <w:qFormat/>
    <w:uiPriority w:val="99"/>
    <w:pPr>
      <w:spacing w:after="120"/>
      <w:ind w:left="420" w:leftChars="200"/>
    </w:pPr>
  </w:style>
  <w:style w:type="paragraph" w:styleId="4">
    <w:name w:val="footer"/>
    <w:basedOn w:val="1"/>
    <w:link w:val="54"/>
    <w:semiHidden/>
    <w:unhideWhenUsed/>
    <w:qFormat/>
    <w:uiPriority w:val="99"/>
    <w:pPr>
      <w:tabs>
        <w:tab w:val="center" w:pos="4153"/>
        <w:tab w:val="right" w:pos="8306"/>
      </w:tabs>
      <w:snapToGrid w:val="0"/>
      <w:jc w:val="left"/>
    </w:pPr>
    <w:rPr>
      <w:sz w:val="18"/>
      <w:szCs w:val="18"/>
    </w:rPr>
  </w:style>
  <w:style w:type="paragraph" w:styleId="5">
    <w:name w:val="header"/>
    <w:basedOn w:val="1"/>
    <w:link w:val="53"/>
    <w:autoRedefine/>
    <w:semiHidden/>
    <w:unhideWhenUsed/>
    <w:uiPriority w:val="99"/>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3"/>
    <w:link w:val="14"/>
    <w:autoRedefine/>
    <w:unhideWhenUsed/>
    <w:qFormat/>
    <w:uiPriority w:val="99"/>
    <w:pPr>
      <w:ind w:firstLine="420" w:firstLineChars="200"/>
    </w:pPr>
  </w:style>
  <w:style w:type="character" w:styleId="9">
    <w:name w:val="FollowedHyperlink"/>
    <w:basedOn w:val="8"/>
    <w:semiHidden/>
    <w:unhideWhenUsed/>
    <w:qFormat/>
    <w:uiPriority w:val="99"/>
    <w:rPr>
      <w:color w:val="800080"/>
      <w:u w:val="single"/>
    </w:rPr>
  </w:style>
  <w:style w:type="character" w:styleId="10">
    <w:name w:val="Hyperlink"/>
    <w:basedOn w:val="8"/>
    <w:semiHidden/>
    <w:unhideWhenUsed/>
    <w:qFormat/>
    <w:uiPriority w:val="99"/>
    <w:rPr>
      <w:color w:val="0000FF"/>
      <w:u w:val="single"/>
    </w:rPr>
  </w:style>
  <w:style w:type="character" w:customStyle="1" w:styleId="11">
    <w:name w:val="font101"/>
    <w:basedOn w:val="8"/>
    <w:qFormat/>
    <w:uiPriority w:val="0"/>
    <w:rPr>
      <w:rFonts w:hint="eastAsia" w:ascii="宋体" w:hAnsi="宋体" w:eastAsia="宋体" w:cs="宋体"/>
      <w:b/>
      <w:color w:val="000000"/>
      <w:kern w:val="0"/>
      <w:sz w:val="22"/>
      <w:szCs w:val="22"/>
      <w:u w:val="none"/>
      <w:lang w:eastAsia="en-US"/>
    </w:rPr>
  </w:style>
  <w:style w:type="character" w:customStyle="1" w:styleId="12">
    <w:name w:val="font21"/>
    <w:basedOn w:val="8"/>
    <w:qFormat/>
    <w:uiPriority w:val="0"/>
    <w:rPr>
      <w:rFonts w:hint="eastAsia" w:ascii="宋体" w:hAnsi="宋体" w:eastAsia="宋体" w:cs="宋体"/>
      <w:color w:val="000000"/>
      <w:kern w:val="0"/>
      <w:sz w:val="22"/>
      <w:szCs w:val="22"/>
      <w:u w:val="none"/>
      <w:lang w:eastAsia="en-US"/>
    </w:rPr>
  </w:style>
  <w:style w:type="character" w:customStyle="1" w:styleId="13">
    <w:name w:val="正文文本缩进 Char"/>
    <w:basedOn w:val="8"/>
    <w:link w:val="3"/>
    <w:semiHidden/>
    <w:qFormat/>
    <w:uiPriority w:val="99"/>
    <w:rPr>
      <w:rFonts w:ascii="Times New Roman" w:hAnsi="Times New Roman" w:eastAsia="宋体" w:cs="Times New Roman"/>
      <w:szCs w:val="24"/>
    </w:rPr>
  </w:style>
  <w:style w:type="character" w:customStyle="1" w:styleId="14">
    <w:name w:val="正文首行缩进 2 Char"/>
    <w:basedOn w:val="13"/>
    <w:link w:val="6"/>
    <w:qFormat/>
    <w:uiPriority w:val="99"/>
  </w:style>
  <w:style w:type="paragraph" w:customStyle="1" w:styleId="1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
    <w:name w:val="font6"/>
    <w:basedOn w:val="1"/>
    <w:qFormat/>
    <w:uiPriority w:val="0"/>
    <w:pPr>
      <w:widowControl/>
      <w:spacing w:before="100" w:beforeAutospacing="1" w:after="100" w:afterAutospacing="1"/>
      <w:jc w:val="left"/>
    </w:pPr>
    <w:rPr>
      <w:color w:val="000000"/>
      <w:kern w:val="0"/>
      <w:sz w:val="24"/>
    </w:rPr>
  </w:style>
  <w:style w:type="paragraph" w:customStyle="1" w:styleId="17">
    <w:name w:val="font7"/>
    <w:basedOn w:val="1"/>
    <w:qFormat/>
    <w:uiPriority w:val="0"/>
    <w:pPr>
      <w:widowControl/>
      <w:spacing w:before="100" w:beforeAutospacing="1" w:after="100" w:afterAutospacing="1"/>
      <w:jc w:val="left"/>
    </w:pPr>
    <w:rPr>
      <w:rFonts w:ascii="仿宋" w:hAnsi="仿宋" w:eastAsia="仿宋" w:cs="宋体"/>
      <w:color w:val="000000"/>
      <w:kern w:val="0"/>
      <w:sz w:val="24"/>
    </w:rPr>
  </w:style>
  <w:style w:type="paragraph" w:customStyle="1" w:styleId="18">
    <w:name w:val="font8"/>
    <w:basedOn w:val="1"/>
    <w:qFormat/>
    <w:uiPriority w:val="0"/>
    <w:pPr>
      <w:widowControl/>
      <w:spacing w:before="100" w:beforeAutospacing="1" w:after="100" w:afterAutospacing="1"/>
      <w:jc w:val="left"/>
    </w:pPr>
    <w:rPr>
      <w:rFonts w:ascii="宋体" w:hAnsi="宋体" w:cs="宋体"/>
      <w:b/>
      <w:bCs/>
      <w:color w:val="000000"/>
      <w:kern w:val="0"/>
      <w:sz w:val="28"/>
      <w:szCs w:val="28"/>
    </w:rPr>
  </w:style>
  <w:style w:type="paragraph" w:customStyle="1" w:styleId="19">
    <w:name w:val="font9"/>
    <w:basedOn w:val="1"/>
    <w:autoRedefine/>
    <w:qFormat/>
    <w:uiPriority w:val="0"/>
    <w:pPr>
      <w:widowControl/>
      <w:spacing w:before="100" w:beforeAutospacing="1" w:after="100" w:afterAutospacing="1"/>
      <w:jc w:val="left"/>
    </w:pPr>
    <w:rPr>
      <w:rFonts w:ascii="宋体" w:hAnsi="宋体" w:cs="宋体"/>
      <w:kern w:val="0"/>
      <w:sz w:val="18"/>
      <w:szCs w:val="18"/>
    </w:rPr>
  </w:style>
  <w:style w:type="paragraph" w:customStyle="1" w:styleId="20">
    <w:name w:val="xl63"/>
    <w:basedOn w:val="1"/>
    <w:autoRedefine/>
    <w:qFormat/>
    <w:uiPriority w:val="0"/>
    <w:pPr>
      <w:widowControl/>
      <w:pBdr>
        <w:top w:val="single" w:color="000000" w:sz="8" w:space="0"/>
        <w:left w:val="single" w:color="auto" w:sz="8" w:space="0"/>
        <w:right w:val="single" w:color="000000" w:sz="8" w:space="0"/>
      </w:pBdr>
      <w:spacing w:before="100" w:beforeAutospacing="1" w:after="100" w:afterAutospacing="1"/>
      <w:jc w:val="center"/>
    </w:pPr>
    <w:rPr>
      <w:kern w:val="0"/>
      <w:sz w:val="24"/>
    </w:rPr>
  </w:style>
  <w:style w:type="paragraph" w:customStyle="1" w:styleId="21">
    <w:name w:val="xl64"/>
    <w:basedOn w:val="1"/>
    <w:qFormat/>
    <w:uiPriority w:val="0"/>
    <w:pPr>
      <w:widowControl/>
      <w:pBdr>
        <w:top w:val="single" w:color="000000" w:sz="8" w:space="0"/>
        <w:left w:val="single" w:color="000000" w:sz="8" w:space="0"/>
        <w:right w:val="single" w:color="000000" w:sz="8" w:space="0"/>
      </w:pBdr>
      <w:spacing w:before="100" w:beforeAutospacing="1" w:after="100" w:afterAutospacing="1"/>
      <w:jc w:val="center"/>
    </w:pPr>
    <w:rPr>
      <w:rFonts w:ascii="仿宋" w:hAnsi="仿宋" w:eastAsia="仿宋" w:cs="宋体"/>
      <w:kern w:val="0"/>
      <w:sz w:val="24"/>
    </w:rPr>
  </w:style>
  <w:style w:type="paragraph" w:customStyle="1" w:styleId="22">
    <w:name w:val="xl65"/>
    <w:basedOn w:val="1"/>
    <w:autoRedefine/>
    <w:qFormat/>
    <w:uiPriority w:val="0"/>
    <w:pPr>
      <w:widowControl/>
      <w:pBdr>
        <w:top w:val="single" w:color="auto" w:sz="8" w:space="0"/>
        <w:left w:val="single" w:color="000000" w:sz="8" w:space="0"/>
        <w:right w:val="single" w:color="000000" w:sz="8" w:space="0"/>
      </w:pBdr>
      <w:spacing w:before="100" w:beforeAutospacing="1" w:after="100" w:afterAutospacing="1"/>
      <w:jc w:val="center"/>
    </w:pPr>
    <w:rPr>
      <w:kern w:val="0"/>
      <w:sz w:val="24"/>
    </w:rPr>
  </w:style>
  <w:style w:type="paragraph" w:customStyle="1" w:styleId="23">
    <w:name w:val="xl66"/>
    <w:basedOn w:val="1"/>
    <w:qFormat/>
    <w:uiPriority w:val="0"/>
    <w:pPr>
      <w:widowControl/>
      <w:pBdr>
        <w:top w:val="single" w:color="auto" w:sz="8" w:space="0"/>
        <w:left w:val="single" w:color="000000" w:sz="8" w:space="0"/>
        <w:right w:val="single" w:color="000000" w:sz="8" w:space="0"/>
      </w:pBdr>
      <w:spacing w:before="100" w:beforeAutospacing="1" w:after="100" w:afterAutospacing="1"/>
      <w:jc w:val="center"/>
    </w:pPr>
    <w:rPr>
      <w:rFonts w:ascii="仿宋" w:hAnsi="仿宋" w:eastAsia="仿宋" w:cs="宋体"/>
      <w:kern w:val="0"/>
      <w:sz w:val="24"/>
    </w:rPr>
  </w:style>
  <w:style w:type="paragraph" w:customStyle="1" w:styleId="24">
    <w:name w:val="xl67"/>
    <w:basedOn w:val="1"/>
    <w:autoRedefine/>
    <w:qFormat/>
    <w:uiPriority w:val="0"/>
    <w:pPr>
      <w:widowControl/>
      <w:pBdr>
        <w:top w:val="single" w:color="auto" w:sz="8" w:space="0"/>
        <w:left w:val="single" w:color="auto" w:sz="8" w:space="0"/>
        <w:right w:val="single" w:color="auto" w:sz="8" w:space="0"/>
      </w:pBdr>
      <w:spacing w:before="100" w:beforeAutospacing="1" w:after="100" w:afterAutospacing="1"/>
      <w:jc w:val="center"/>
    </w:pPr>
    <w:rPr>
      <w:kern w:val="0"/>
      <w:sz w:val="24"/>
    </w:rPr>
  </w:style>
  <w:style w:type="paragraph" w:customStyle="1" w:styleId="25">
    <w:name w:val="xl68"/>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 w:hAnsi="仿宋" w:eastAsia="仿宋" w:cs="宋体"/>
      <w:kern w:val="0"/>
      <w:sz w:val="24"/>
    </w:rPr>
  </w:style>
  <w:style w:type="paragraph" w:customStyle="1" w:styleId="26">
    <w:name w:val="xl69"/>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 w:hAnsi="仿宋" w:eastAsia="仿宋" w:cs="宋体"/>
      <w:color w:val="FF0000"/>
      <w:kern w:val="0"/>
      <w:sz w:val="24"/>
    </w:rPr>
  </w:style>
  <w:style w:type="paragraph" w:customStyle="1" w:styleId="27">
    <w:name w:val="xl70"/>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宋体" w:cs="宋体"/>
      <w:kern w:val="0"/>
      <w:sz w:val="24"/>
    </w:rPr>
  </w:style>
  <w:style w:type="paragraph" w:customStyle="1" w:styleId="28">
    <w:name w:val="xl71"/>
    <w:basedOn w:val="1"/>
    <w:autoRedefine/>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宋体" w:cs="宋体"/>
      <w:kern w:val="0"/>
      <w:sz w:val="24"/>
    </w:rPr>
  </w:style>
  <w:style w:type="paragraph" w:customStyle="1" w:styleId="29">
    <w:name w:val="xl7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宋体" w:cs="宋体"/>
      <w:kern w:val="0"/>
      <w:sz w:val="24"/>
    </w:rPr>
  </w:style>
  <w:style w:type="paragraph" w:customStyle="1" w:styleId="30">
    <w:name w:val="xl7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 w:hAnsi="仿宋" w:eastAsia="仿宋" w:cs="宋体"/>
      <w:kern w:val="0"/>
      <w:sz w:val="24"/>
    </w:rPr>
  </w:style>
  <w:style w:type="paragraph" w:customStyle="1" w:styleId="3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32">
    <w:name w:val="xl7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rPr>
  </w:style>
  <w:style w:type="paragraph" w:customStyle="1" w:styleId="33">
    <w:name w:val="xl76"/>
    <w:basedOn w:val="1"/>
    <w:autoRedefine/>
    <w:qFormat/>
    <w:uiPriority w:val="0"/>
    <w:pPr>
      <w:widowControl/>
      <w:spacing w:before="100" w:beforeAutospacing="1" w:after="100" w:afterAutospacing="1"/>
      <w:jc w:val="center"/>
    </w:pPr>
    <w:rPr>
      <w:rFonts w:ascii="宋体" w:hAnsi="宋体" w:cs="宋体"/>
      <w:kern w:val="0"/>
      <w:sz w:val="24"/>
    </w:rPr>
  </w:style>
  <w:style w:type="paragraph" w:customStyle="1" w:styleId="34">
    <w:name w:val="xl77"/>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仿宋" w:hAnsi="仿宋" w:eastAsia="仿宋" w:cs="宋体"/>
      <w:kern w:val="0"/>
      <w:sz w:val="24"/>
    </w:rPr>
  </w:style>
  <w:style w:type="paragraph" w:customStyle="1" w:styleId="35">
    <w:name w:val="xl78"/>
    <w:basedOn w:val="1"/>
    <w:qFormat/>
    <w:uiPriority w:val="0"/>
    <w:pPr>
      <w:widowControl/>
      <w:pBdr>
        <w:left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36">
    <w:name w:val="xl79"/>
    <w:basedOn w:val="1"/>
    <w:qFormat/>
    <w:uiPriority w:val="0"/>
    <w:pPr>
      <w:widowControl/>
      <w:pBdr>
        <w:left w:val="single" w:color="auto" w:sz="8" w:space="0"/>
        <w:right w:val="single" w:color="auto" w:sz="8" w:space="0"/>
      </w:pBdr>
      <w:spacing w:before="100" w:beforeAutospacing="1" w:after="100" w:afterAutospacing="1"/>
      <w:jc w:val="center"/>
    </w:pPr>
    <w:rPr>
      <w:rFonts w:ascii="仿宋" w:hAnsi="仿宋" w:eastAsia="仿宋" w:cs="宋体"/>
      <w:kern w:val="0"/>
      <w:sz w:val="24"/>
    </w:rPr>
  </w:style>
  <w:style w:type="paragraph" w:customStyle="1" w:styleId="37">
    <w:name w:val="xl80"/>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sz w:val="24"/>
    </w:rPr>
  </w:style>
  <w:style w:type="paragraph" w:customStyle="1" w:styleId="38">
    <w:name w:val="xl81"/>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cs="宋体"/>
      <w:kern w:val="0"/>
      <w:sz w:val="24"/>
    </w:rPr>
  </w:style>
  <w:style w:type="paragraph" w:customStyle="1" w:styleId="39">
    <w:name w:val="xl82"/>
    <w:basedOn w:val="1"/>
    <w:autoRedefine/>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40">
    <w:name w:val="xl83"/>
    <w:basedOn w:val="1"/>
    <w:qFormat/>
    <w:uiPriority w:val="0"/>
    <w:pPr>
      <w:widowControl/>
      <w:pBdr>
        <w:top w:val="single" w:color="000000" w:sz="8" w:space="0"/>
        <w:left w:val="single" w:color="000000" w:sz="8" w:space="0"/>
        <w:right w:val="single" w:color="000000" w:sz="8" w:space="0"/>
      </w:pBdr>
      <w:spacing w:before="100" w:beforeAutospacing="1" w:after="100" w:afterAutospacing="1"/>
    </w:pPr>
    <w:rPr>
      <w:rFonts w:ascii="黑体" w:hAnsi="黑体" w:eastAsia="黑体" w:cs="宋体"/>
      <w:kern w:val="0"/>
      <w:sz w:val="24"/>
    </w:rPr>
  </w:style>
  <w:style w:type="paragraph" w:customStyle="1" w:styleId="41">
    <w:name w:val="xl84"/>
    <w:basedOn w:val="1"/>
    <w:qFormat/>
    <w:uiPriority w:val="0"/>
    <w:pPr>
      <w:widowControl/>
      <w:pBdr>
        <w:left w:val="single" w:color="000000" w:sz="8" w:space="0"/>
        <w:bottom w:val="single" w:color="000000" w:sz="8" w:space="0"/>
        <w:right w:val="single" w:color="000000" w:sz="8" w:space="0"/>
      </w:pBdr>
      <w:spacing w:before="100" w:beforeAutospacing="1" w:after="100" w:afterAutospacing="1"/>
    </w:pPr>
    <w:rPr>
      <w:rFonts w:ascii="黑体" w:hAnsi="黑体" w:eastAsia="黑体" w:cs="宋体"/>
      <w:kern w:val="0"/>
      <w:sz w:val="24"/>
    </w:rPr>
  </w:style>
  <w:style w:type="paragraph" w:customStyle="1" w:styleId="42">
    <w:name w:val="xl85"/>
    <w:basedOn w:val="1"/>
    <w:qFormat/>
    <w:uiPriority w:val="0"/>
    <w:pPr>
      <w:widowControl/>
      <w:pBdr>
        <w:top w:val="single" w:color="000000" w:sz="8" w:space="0"/>
        <w:left w:val="single" w:color="000000" w:sz="8" w:space="0"/>
        <w:right w:val="single" w:color="000000" w:sz="8" w:space="0"/>
      </w:pBdr>
      <w:spacing w:before="100" w:beforeAutospacing="1" w:after="100" w:afterAutospacing="1"/>
      <w:jc w:val="center"/>
    </w:pPr>
    <w:rPr>
      <w:rFonts w:ascii="黑体" w:hAnsi="黑体" w:eastAsia="黑体" w:cs="宋体"/>
      <w:kern w:val="0"/>
      <w:sz w:val="24"/>
    </w:rPr>
  </w:style>
  <w:style w:type="paragraph" w:customStyle="1" w:styleId="43">
    <w:name w:val="xl86"/>
    <w:basedOn w:val="1"/>
    <w:qFormat/>
    <w:uiPriority w:val="0"/>
    <w:pPr>
      <w:widowControl/>
      <w:pBdr>
        <w:left w:val="single" w:color="000000" w:sz="8" w:space="0"/>
        <w:bottom w:val="single" w:color="000000" w:sz="8" w:space="0"/>
        <w:right w:val="single" w:color="000000" w:sz="8" w:space="0"/>
      </w:pBdr>
      <w:spacing w:before="100" w:beforeAutospacing="1" w:after="100" w:afterAutospacing="1"/>
      <w:jc w:val="center"/>
    </w:pPr>
    <w:rPr>
      <w:rFonts w:ascii="黑体" w:hAnsi="黑体" w:eastAsia="黑体" w:cs="宋体"/>
      <w:kern w:val="0"/>
      <w:sz w:val="24"/>
    </w:rPr>
  </w:style>
  <w:style w:type="paragraph" w:customStyle="1" w:styleId="44">
    <w:name w:val="xl87"/>
    <w:basedOn w:val="1"/>
    <w:qFormat/>
    <w:uiPriority w:val="0"/>
    <w:pPr>
      <w:widowControl/>
      <w:pBdr>
        <w:bottom w:val="single" w:color="000000" w:sz="8" w:space="0"/>
      </w:pBdr>
      <w:spacing w:before="100" w:beforeAutospacing="1" w:after="100" w:afterAutospacing="1"/>
      <w:jc w:val="left"/>
    </w:pPr>
    <w:rPr>
      <w:rFonts w:ascii="宋体" w:hAnsi="宋体" w:cs="宋体"/>
      <w:kern w:val="0"/>
      <w:sz w:val="28"/>
      <w:szCs w:val="28"/>
    </w:rPr>
  </w:style>
  <w:style w:type="paragraph" w:customStyle="1" w:styleId="45">
    <w:name w:val="xl88"/>
    <w:basedOn w:val="1"/>
    <w:qFormat/>
    <w:uiPriority w:val="0"/>
    <w:pPr>
      <w:widowControl/>
      <w:pBdr>
        <w:bottom w:val="single" w:color="000000" w:sz="8" w:space="0"/>
      </w:pBdr>
      <w:spacing w:before="100" w:beforeAutospacing="1" w:after="100" w:afterAutospacing="1"/>
      <w:jc w:val="left"/>
    </w:pPr>
    <w:rPr>
      <w:rFonts w:ascii="宋体" w:hAnsi="宋体" w:cs="宋体"/>
      <w:kern w:val="0"/>
      <w:sz w:val="24"/>
    </w:rPr>
  </w:style>
  <w:style w:type="paragraph" w:customStyle="1" w:styleId="46">
    <w:name w:val="xl89"/>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kern w:val="0"/>
      <w:sz w:val="24"/>
    </w:rPr>
  </w:style>
  <w:style w:type="paragraph" w:customStyle="1" w:styleId="47">
    <w:name w:val="xl90"/>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 w:hAnsi="仿宋" w:eastAsia="仿宋" w:cs="宋体"/>
      <w:kern w:val="0"/>
      <w:sz w:val="24"/>
    </w:rPr>
  </w:style>
  <w:style w:type="paragraph" w:customStyle="1" w:styleId="48">
    <w:name w:val="xl91"/>
    <w:basedOn w:val="1"/>
    <w:qFormat/>
    <w:uiPriority w:val="0"/>
    <w:pPr>
      <w:widowControl/>
      <w:pBdr>
        <w:left w:val="single" w:color="auto" w:sz="8" w:space="0"/>
        <w:right w:val="single" w:color="auto" w:sz="8" w:space="0"/>
      </w:pBdr>
      <w:spacing w:before="100" w:beforeAutospacing="1" w:after="100" w:afterAutospacing="1"/>
      <w:jc w:val="center"/>
    </w:pPr>
    <w:rPr>
      <w:kern w:val="0"/>
      <w:sz w:val="24"/>
    </w:rPr>
  </w:style>
  <w:style w:type="paragraph" w:customStyle="1" w:styleId="49">
    <w:name w:val="xl92"/>
    <w:basedOn w:val="1"/>
    <w:qFormat/>
    <w:uiPriority w:val="0"/>
    <w:pPr>
      <w:widowControl/>
      <w:pBdr>
        <w:top w:val="single" w:color="000000" w:sz="8" w:space="0"/>
        <w:left w:val="single" w:color="000000" w:sz="8" w:space="0"/>
        <w:right w:val="single" w:color="000000" w:sz="8" w:space="0"/>
      </w:pBdr>
      <w:spacing w:before="100" w:beforeAutospacing="1" w:after="100" w:afterAutospacing="1"/>
      <w:jc w:val="center"/>
    </w:pPr>
    <w:rPr>
      <w:kern w:val="0"/>
      <w:sz w:val="24"/>
    </w:rPr>
  </w:style>
  <w:style w:type="paragraph" w:customStyle="1" w:styleId="50">
    <w:name w:val="xl93"/>
    <w:basedOn w:val="1"/>
    <w:qFormat/>
    <w:uiPriority w:val="0"/>
    <w:pPr>
      <w:widowControl/>
      <w:pBdr>
        <w:left w:val="single" w:color="000000" w:sz="8" w:space="0"/>
        <w:bottom w:val="single" w:color="000000" w:sz="8" w:space="0"/>
        <w:right w:val="single" w:color="000000" w:sz="8" w:space="0"/>
      </w:pBdr>
      <w:spacing w:before="100" w:beforeAutospacing="1" w:after="100" w:afterAutospacing="1"/>
      <w:jc w:val="center"/>
    </w:pPr>
    <w:rPr>
      <w:kern w:val="0"/>
      <w:sz w:val="24"/>
    </w:rPr>
  </w:style>
  <w:style w:type="paragraph" w:customStyle="1" w:styleId="51">
    <w:name w:val="xl94"/>
    <w:basedOn w:val="1"/>
    <w:autoRedefine/>
    <w:qFormat/>
    <w:uiPriority w:val="0"/>
    <w:pPr>
      <w:widowControl/>
      <w:pBdr>
        <w:left w:val="single" w:color="000000" w:sz="8" w:space="0"/>
        <w:bottom w:val="single" w:color="000000" w:sz="8" w:space="0"/>
        <w:right w:val="single" w:color="000000" w:sz="8" w:space="0"/>
      </w:pBdr>
      <w:spacing w:before="100" w:beforeAutospacing="1" w:after="100" w:afterAutospacing="1"/>
      <w:jc w:val="center"/>
    </w:pPr>
    <w:rPr>
      <w:rFonts w:ascii="仿宋" w:hAnsi="仿宋" w:eastAsia="仿宋" w:cs="宋体"/>
      <w:kern w:val="0"/>
      <w:sz w:val="24"/>
    </w:rPr>
  </w:style>
  <w:style w:type="character" w:customStyle="1" w:styleId="52">
    <w:name w:val="NormalCharacter"/>
    <w:autoRedefine/>
    <w:qFormat/>
    <w:uiPriority w:val="0"/>
  </w:style>
  <w:style w:type="character" w:customStyle="1" w:styleId="53">
    <w:name w:val="页眉 Char"/>
    <w:basedOn w:val="8"/>
    <w:link w:val="5"/>
    <w:autoRedefine/>
    <w:semiHidden/>
    <w:qFormat/>
    <w:uiPriority w:val="99"/>
    <w:rPr>
      <w:kern w:val="2"/>
      <w:sz w:val="18"/>
      <w:szCs w:val="18"/>
    </w:rPr>
  </w:style>
  <w:style w:type="character" w:customStyle="1" w:styleId="54">
    <w:name w:val="页脚 Char"/>
    <w:basedOn w:val="8"/>
    <w:link w:val="4"/>
    <w:semiHidden/>
    <w:uiPriority w:val="99"/>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Pages>
  <Words>405</Words>
  <Characters>2313</Characters>
  <Lines>19</Lines>
  <Paragraphs>5</Paragraphs>
  <TotalTime>80</TotalTime>
  <ScaleCrop>false</ScaleCrop>
  <LinksUpToDate>false</LinksUpToDate>
  <CharactersWithSpaces>2713</CharactersWithSpaces>
  <Application>WPS Office_12.1.0.16364_F1E327BC-269C-435d-A152-05C5408002CA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2020-12-29T01:13:00Z</dcterms:created>
  <dc:creator>微软中国</dc:creator>
  <cp:lastModifiedBy>lenovo</cp:lastModifiedBy>
  <cp:lastPrinted>2024-04-09T09:17:46Z</cp:lastPrinted>
  <dcterms:modified xsi:type="dcterms:W3CDTF">2024-04-09T09:17:52Z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2052-12.1.0.16364</vt:lpwstr>
  </property>
  <property fmtid="{D5CDD505-2E9C-101B-9397-08002B2CF9AE}" pid="3" name="ICV">
    <vt:lpwstr>CBEF5EE715E64622BF28B8D52C330584</vt:lpwstr>
  </property>
</Properties>
</file>