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r>
        <w:drawing>
          <wp:inline distT="0" distB="0" distL="114300" distR="114300">
            <wp:extent cx="5271135" cy="1755140"/>
            <wp:effectExtent l="0" t="0" r="5715" b="16510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asciiTheme="majorEastAsia" w:hAnsiTheme="majorEastAsia" w:eastAsiaTheme="majorEastAsia"/>
          <w:b/>
          <w:sz w:val="32"/>
          <w:szCs w:val="32"/>
        </w:rPr>
      </w:pPr>
    </w:p>
    <w:p>
      <w:pPr>
        <w:rPr>
          <w:rFonts w:asciiTheme="majorEastAsia" w:hAnsiTheme="majorEastAsia" w:eastAsiaTheme="majorEastAsia"/>
          <w:b/>
          <w:sz w:val="32"/>
          <w:szCs w:val="32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  <w:lang w:eastAsia="zh-CN"/>
        </w:rPr>
      </w:pPr>
      <w:bookmarkStart w:id="0" w:name="_Toc6207"/>
      <w:bookmarkStart w:id="1" w:name="_Toc4645"/>
      <w:bookmarkStart w:id="2" w:name="_Toc19680"/>
      <w:bookmarkStart w:id="3" w:name="_Toc125985180"/>
      <w:bookmarkStart w:id="4" w:name="_Toc1029363518"/>
      <w:bookmarkStart w:id="5" w:name="_Toc1238549675"/>
      <w:bookmarkStart w:id="6" w:name="_Toc228081744"/>
      <w:bookmarkStart w:id="7" w:name="_Toc1101214305"/>
      <w:bookmarkStart w:id="8" w:name="_Toc137025742"/>
      <w:r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  <w:lang w:eastAsia="zh-CN"/>
        </w:rPr>
        <w:t>政府采购</w:t>
      </w:r>
      <w:r>
        <w:rPr>
          <w:rFonts w:hint="default" w:ascii="方正小标宋简体" w:hAnsi="方正小标宋简体" w:eastAsia="方正小标宋简体" w:cs="方正小标宋简体"/>
          <w:b w:val="0"/>
          <w:bCs/>
          <w:sz w:val="48"/>
          <w:szCs w:val="48"/>
          <w:lang w:val="en"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  <w:lang w:eastAsia="zh-CN"/>
        </w:rPr>
        <w:t>“一件事一次办”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  <w:lang w:eastAsia="zh-CN"/>
        </w:rPr>
      </w:pPr>
      <w:bookmarkStart w:id="9" w:name="_Toc2073047871"/>
      <w:bookmarkStart w:id="10" w:name="_Toc709342871"/>
      <w:bookmarkStart w:id="11" w:name="_Toc2010151949"/>
      <w:bookmarkStart w:id="12" w:name="_Toc1297482894"/>
      <w:r>
        <w:rPr>
          <w:rFonts w:hint="default" w:ascii="方正小标宋简体" w:hAnsi="方正小标宋简体" w:eastAsia="方正小标宋简体" w:cs="方正小标宋简体"/>
          <w:b w:val="0"/>
          <w:bCs/>
          <w:sz w:val="48"/>
          <w:szCs w:val="48"/>
          <w:lang w:val="en" w:eastAsia="zh-CN"/>
        </w:rPr>
        <w:t>系统操作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  <w:lang w:eastAsia="zh-CN"/>
        </w:rPr>
        <w:t>指南</w:t>
      </w:r>
      <w:bookmarkEnd w:id="8"/>
      <w:r>
        <w:rPr>
          <w:rFonts w:hint="eastAsia" w:ascii="方正小标宋简体" w:hAnsi="方正小标宋简体" w:eastAsia="方正小标宋简体" w:cs="方正小标宋简体"/>
          <w:b w:val="0"/>
          <w:bCs/>
          <w:sz w:val="48"/>
          <w:szCs w:val="48"/>
          <w:lang w:eastAsia="zh-CN"/>
        </w:rPr>
        <w:t>（投标人）</w:t>
      </w:r>
      <w:bookmarkEnd w:id="9"/>
      <w:bookmarkEnd w:id="10"/>
      <w:bookmarkEnd w:id="11"/>
      <w:bookmarkEnd w:id="12"/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rFonts w:hint="eastAsia" w:asciiTheme="majorEastAsia" w:hAnsiTheme="majorEastAsia" w:eastAsiaTheme="majorEastAsia"/>
          <w:b/>
          <w:sz w:val="32"/>
          <w:szCs w:val="32"/>
        </w:rPr>
      </w:pPr>
      <w:r>
        <w:rPr>
          <w:rFonts w:asciiTheme="majorEastAsia" w:hAnsiTheme="majorEastAsia" w:eastAsiaTheme="majorEastAsia"/>
          <w:b/>
          <w:sz w:val="32"/>
          <w:szCs w:val="32"/>
        </w:rPr>
        <w:t>2023</w:t>
      </w:r>
      <w:r>
        <w:rPr>
          <w:rFonts w:hint="eastAsia" w:asciiTheme="majorEastAsia" w:hAnsiTheme="majorEastAsia" w:eastAsiaTheme="majorEastAsia"/>
          <w:b/>
          <w:sz w:val="32"/>
          <w:szCs w:val="32"/>
        </w:rPr>
        <w:t>年0</w:t>
      </w:r>
      <w:r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  <w:t>8</w:t>
      </w:r>
      <w:r>
        <w:rPr>
          <w:rFonts w:hint="eastAsia" w:asciiTheme="majorEastAsia" w:hAnsiTheme="majorEastAsia" w:eastAsiaTheme="majorEastAsia"/>
          <w:b/>
          <w:sz w:val="32"/>
          <w:szCs w:val="32"/>
        </w:rPr>
        <w:t>月</w:t>
      </w:r>
    </w:p>
    <w:p>
      <w:pPr>
        <w:jc w:val="center"/>
        <w:rPr>
          <w:rFonts w:hint="eastAsia" w:asciiTheme="majorEastAsia" w:hAnsiTheme="majorEastAsia" w:eastAsiaTheme="majorEastAsia"/>
          <w:b/>
          <w:sz w:val="32"/>
          <w:szCs w:val="32"/>
        </w:rPr>
      </w:pPr>
    </w:p>
    <w:p>
      <w:pPr>
        <w:jc w:val="center"/>
        <w:rPr>
          <w:rFonts w:hint="eastAsia" w:asciiTheme="majorEastAsia" w:hAnsiTheme="majorEastAsia" w:eastAsiaTheme="majorEastAsia"/>
          <w:b/>
          <w:sz w:val="32"/>
          <w:szCs w:val="32"/>
        </w:rPr>
      </w:pPr>
    </w:p>
    <w:p/>
    <w:sdt>
      <w:sdtPr>
        <w:rPr>
          <w:rFonts w:ascii="宋体" w:hAnsi="宋体" w:eastAsia="宋体"/>
        </w:rPr>
        <w:id w:val="147458752"/>
        <w:docPartObj>
          <w:docPartGallery w:val="Table of Contents"/>
          <w:docPartUnique/>
        </w:docPartObj>
      </w:sdtPr>
      <w:sdtEndPr>
        <w:rPr>
          <w:rFonts w:hint="eastAsia" w:asciiTheme="minorEastAsia" w:hAnsiTheme="minorEastAsia" w:eastAsiaTheme="minorEastAsia" w:cstheme="minorEastAsia"/>
          <w:sz w:val="28"/>
          <w:szCs w:val="28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hAnsi="宋体" w:eastAsia="宋体"/>
              <w:b/>
              <w:bCs/>
              <w:sz w:val="32"/>
              <w:szCs w:val="32"/>
            </w:rPr>
            <w:t>目</w:t>
          </w:r>
          <w:r>
            <w:rPr>
              <w:rFonts w:hint="eastAsia" w:ascii="宋体" w:hAnsi="宋体" w:eastAsia="宋体"/>
              <w:b/>
              <w:bCs/>
              <w:sz w:val="32"/>
              <w:szCs w:val="32"/>
              <w:lang w:val="en-US" w:eastAsia="zh-CN"/>
            </w:rPr>
            <w:t xml:space="preserve"> 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>录</w:t>
          </w:r>
        </w:p>
        <w:p>
          <w:pPr>
            <w:pStyle w:val="1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instrText xml:space="preserve">TOC \o "1-3" \h \u </w:instrText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separate"/>
          </w:r>
        </w:p>
        <w:p>
          <w:pPr>
            <w:pStyle w:val="1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instrText xml:space="preserve"> HYPERLINK \l _Toc503430245 </w:instrText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44"/>
              <w:sz w:val="24"/>
              <w:szCs w:val="24"/>
              <w:lang w:val="en-US"/>
            </w:rPr>
            <w:t xml:space="preserve">一、 </w:t>
          </w:r>
          <w:r>
            <w:rPr>
              <w:rFonts w:hint="eastAsia" w:ascii="Times New Roman" w:hAnsi="Times New Roman" w:eastAsia="宋体" w:cs="Times New Roman"/>
              <w:bCs/>
              <w:kern w:val="44"/>
              <w:sz w:val="24"/>
              <w:szCs w:val="24"/>
            </w:rPr>
            <w:t>系统</w:t>
          </w:r>
          <w:r>
            <w:rPr>
              <w:rFonts w:hint="eastAsia" w:ascii="Times New Roman" w:hAnsi="Times New Roman" w:eastAsia="宋体" w:cs="Times New Roman"/>
              <w:bCs/>
              <w:kern w:val="44"/>
              <w:sz w:val="24"/>
              <w:szCs w:val="24"/>
              <w:lang w:eastAsia="zh-CN"/>
            </w:rPr>
            <w:t>入口及</w:t>
          </w:r>
          <w:r>
            <w:rPr>
              <w:rFonts w:hint="eastAsia" w:ascii="Times New Roman" w:hAnsi="Times New Roman" w:eastAsia="宋体" w:cs="Times New Roman"/>
              <w:bCs/>
              <w:kern w:val="44"/>
              <w:sz w:val="24"/>
              <w:szCs w:val="24"/>
            </w:rPr>
            <w:t>登录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_Toc503430245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instrText xml:space="preserve"> HYPERLINK \l _Toc1076143826 </w:instrText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44"/>
              <w:sz w:val="24"/>
              <w:szCs w:val="24"/>
              <w:lang w:val="en-US"/>
            </w:rPr>
            <w:t xml:space="preserve">二、 </w:t>
          </w:r>
          <w:r>
            <w:rPr>
              <w:rFonts w:hint="eastAsia" w:ascii="Times New Roman" w:hAnsi="Times New Roman" w:eastAsia="宋体" w:cs="Times New Roman"/>
              <w:bCs/>
              <w:kern w:val="44"/>
              <w:sz w:val="24"/>
              <w:szCs w:val="24"/>
            </w:rPr>
            <w:t>领取招标文件/答疑澄清文件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_Toc1076143826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instrText xml:space="preserve"> HYPERLINK \l _Toc1707070566 </w:instrText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1、 领取招标文件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_Toc1707070566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instrText xml:space="preserve"> HYPERLINK \l _Toc645599969 </w:instrText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2、 答疑澄清文件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_Toc645599969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instrText xml:space="preserve"> HYPERLINK \l _Toc1108136952 </w:instrText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44"/>
              <w:sz w:val="24"/>
              <w:szCs w:val="24"/>
              <w:lang w:val="en-US" w:eastAsia="zh-CN"/>
            </w:rPr>
            <w:t xml:space="preserve">三、 </w:t>
          </w:r>
          <w:r>
            <w:rPr>
              <w:rFonts w:hint="eastAsia" w:ascii="Times New Roman" w:hAnsi="Times New Roman" w:eastAsia="宋体" w:cs="Times New Roman"/>
              <w:bCs/>
              <w:kern w:val="44"/>
              <w:sz w:val="24"/>
              <w:szCs w:val="24"/>
              <w:lang w:eastAsia="zh-CN"/>
            </w:rPr>
            <w:t>提出质疑（集中采购项目）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_Toc1108136952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instrText xml:space="preserve"> HYPERLINK \l _Toc798136593 </w:instrText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44"/>
              <w:sz w:val="24"/>
              <w:szCs w:val="24"/>
              <w:lang w:val="en-US" w:eastAsia="zh-CN"/>
            </w:rPr>
            <w:t xml:space="preserve">四、 </w:t>
          </w:r>
          <w:r>
            <w:rPr>
              <w:rFonts w:hint="eastAsia" w:ascii="Times New Roman" w:hAnsi="Times New Roman" w:eastAsia="宋体" w:cs="Times New Roman"/>
              <w:bCs/>
              <w:kern w:val="44"/>
              <w:sz w:val="24"/>
              <w:szCs w:val="24"/>
              <w:lang w:eastAsia="zh-CN"/>
            </w:rPr>
            <w:t>投标文件制作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_Toc798136593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instrText xml:space="preserve"> HYPERLINK \l _Toc1354942840 </w:instrText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44"/>
              <w:sz w:val="24"/>
              <w:szCs w:val="24"/>
              <w:lang w:eastAsia="zh-CN"/>
            </w:rPr>
            <w:t>五、上传投标文件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_Toc1354942840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instrText xml:space="preserve"> HYPERLINK \l _Toc1427960273 </w:instrText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44"/>
              <w:sz w:val="24"/>
              <w:szCs w:val="24"/>
              <w:lang w:eastAsia="zh-CN"/>
            </w:rPr>
            <w:t>六、 开标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_Toc1427960273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instrText xml:space="preserve"> HYPERLINK \l _Toc47496473 </w:instrText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44"/>
              <w:sz w:val="24"/>
              <w:szCs w:val="24"/>
              <w:lang w:eastAsia="zh-CN"/>
            </w:rPr>
            <w:t>七、 评标澄清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_Toc47496473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end"/>
          </w:r>
        </w:p>
        <w:p>
          <w:pPr>
            <w:pStyle w:val="1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instrText xml:space="preserve"> HYPERLINK \l _Toc625592079 </w:instrText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44"/>
              <w:sz w:val="24"/>
              <w:szCs w:val="24"/>
              <w:lang w:eastAsia="zh-CN"/>
            </w:rPr>
            <w:t>八、 其他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_Toc625592079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end"/>
          </w:r>
        </w:p>
        <w:p>
          <w:pPr>
            <w:rPr>
              <w:rFonts w:asciiTheme="minorEastAsia" w:hAnsiTheme="minorEastAsia" w:cstheme="minorEastAsia"/>
              <w:sz w:val="28"/>
              <w:szCs w:val="28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Theme="minorEastAsia" w:hAnsiTheme="minorEastAsia" w:cstheme="minorEastAsia"/>
              <w:sz w:val="24"/>
              <w:szCs w:val="24"/>
            </w:rPr>
            <w:fldChar w:fldCharType="end"/>
          </w:r>
        </w:p>
      </w:sdtContent>
    </w:sdt>
    <w:p>
      <w:pPr>
        <w:keepNext/>
        <w:keepLines/>
        <w:numPr>
          <w:ilvl w:val="0"/>
          <w:numId w:val="1"/>
        </w:numPr>
        <w:tabs>
          <w:tab w:val="left" w:pos="425"/>
        </w:tabs>
        <w:outlineLvl w:val="0"/>
        <w:rPr>
          <w:rFonts w:ascii="Times New Roman" w:hAnsi="Times New Roman" w:eastAsia="宋体" w:cs="Times New Roman"/>
          <w:b/>
          <w:bCs/>
          <w:color w:val="000000" w:themeColor="text1"/>
          <w:kern w:val="44"/>
          <w:sz w:val="32"/>
          <w:szCs w:val="28"/>
          <w14:textFill>
            <w14:solidFill>
              <w14:schemeClr w14:val="tx1"/>
            </w14:solidFill>
          </w14:textFill>
        </w:rPr>
      </w:pPr>
      <w:bookmarkStart w:id="13" w:name="_Toc1983334771"/>
      <w:bookmarkStart w:id="14" w:name="_Toc1266397045"/>
      <w:bookmarkStart w:id="15" w:name="_Toc13461"/>
      <w:bookmarkStart w:id="16" w:name="_Toc1785767907"/>
      <w:bookmarkStart w:id="17" w:name="_Toc503430245"/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44"/>
          <w:sz w:val="32"/>
          <w:szCs w:val="28"/>
          <w14:textFill>
            <w14:solidFill>
              <w14:schemeClr w14:val="tx1"/>
            </w14:solidFill>
          </w14:textFill>
        </w:rPr>
        <w:t>系统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44"/>
          <w:sz w:val="32"/>
          <w:szCs w:val="28"/>
          <w:lang w:eastAsia="zh-CN"/>
          <w14:textFill>
            <w14:solidFill>
              <w14:schemeClr w14:val="tx1"/>
            </w14:solidFill>
          </w14:textFill>
        </w:rPr>
        <w:t>入口及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44"/>
          <w:sz w:val="32"/>
          <w:szCs w:val="28"/>
          <w14:textFill>
            <w14:solidFill>
              <w14:schemeClr w14:val="tx1"/>
            </w14:solidFill>
          </w14:textFill>
        </w:rPr>
        <w:t>登录</w:t>
      </w:r>
      <w:bookmarkEnd w:id="13"/>
      <w:bookmarkEnd w:id="14"/>
      <w:bookmarkEnd w:id="15"/>
      <w:bookmarkEnd w:id="16"/>
      <w:bookmarkEnd w:id="17"/>
    </w:p>
    <w:p>
      <w:pPr>
        <w:numPr>
          <w:ilvl w:val="0"/>
          <w:numId w:val="2"/>
        </w:numPr>
        <w:ind w:firstLine="480" w:firstLineChars="200"/>
        <w:rPr>
          <w:rFonts w:hint="default"/>
          <w:color w:val="000000" w:themeColor="text1"/>
          <w:sz w:val="24"/>
          <w:lang w:val="en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搜索“湖南省人民政府门户网站”或直接在浏览器输入“</w:t>
      </w:r>
      <w:r>
        <w:rPr>
          <w:rFonts w:hint="default"/>
          <w:color w:val="000000" w:themeColor="text1"/>
          <w:sz w:val="24"/>
          <w:lang w:val="en" w:eastAsia="zh-CN"/>
          <w14:textFill>
            <w14:solidFill>
              <w14:schemeClr w14:val="tx1"/>
            </w14:solidFill>
          </w14:textFill>
        </w:rPr>
        <w:t>http://www.hunan.gov.cn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”，进入网站后点击“一件事一次办”栏目，进入“一件事一次办专栏网站”（http://zwfw-new.hunan.gov.cn）</w:t>
      </w:r>
    </w:p>
    <w:p>
      <w:pPr>
        <w:numPr>
          <w:ilvl w:val="0"/>
          <w:numId w:val="2"/>
        </w:numPr>
        <w:ind w:firstLine="480" w:firstLineChars="200"/>
        <w:rPr>
          <w:rFonts w:hint="default"/>
          <w:color w:val="000000" w:themeColor="text1"/>
          <w:sz w:val="24"/>
          <w:lang w:val="en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lang w:val="en" w:eastAsia="zh-CN"/>
          <w14:textFill>
            <w14:solidFill>
              <w14:schemeClr w14:val="tx1"/>
            </w14:solidFill>
          </w14:textFill>
        </w:rPr>
        <w:t>点击“一件事一次办服务专区”，选择“主题式套餐式场景应用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/>
          <w:color w:val="000000" w:themeColor="text1"/>
          <w:sz w:val="24"/>
          <w:lang w:val="en" w:eastAsia="zh-CN"/>
          <w14:textFill>
            <w14:solidFill>
              <w14:schemeClr w14:val="tx1"/>
            </w14:solidFill>
          </w14:textFill>
        </w:rPr>
        <w:t>项目全周期应用”，点击“公共资源交易”，进入到“公共资源交易主题服务”页面。</w:t>
      </w:r>
    </w:p>
    <w:p>
      <w:pPr>
        <w:numPr>
          <w:ilvl w:val="0"/>
          <w:numId w:val="2"/>
        </w:numPr>
        <w:ind w:firstLine="480" w:firstLineChars="200"/>
        <w:rPr>
          <w:rFonts w:hint="default"/>
          <w:color w:val="000000" w:themeColor="text1"/>
          <w:sz w:val="24"/>
          <w:lang w:val="en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lang w:val="en" w:eastAsia="zh-CN"/>
          <w14:textFill>
            <w14:solidFill>
              <w14:schemeClr w14:val="tx1"/>
            </w14:solidFill>
          </w14:textFill>
        </w:rPr>
        <w:t>交易公告、今日开标信息、办事指南（服务清单、服务指南）无需登录，可直接查询和下载。</w:t>
      </w:r>
    </w:p>
    <w:p>
      <w:pPr>
        <w:numPr>
          <w:ilvl w:val="0"/>
          <w:numId w:val="2"/>
        </w:numPr>
        <w:ind w:firstLine="480" w:firstLineChars="200"/>
        <w:rPr>
          <w:rFonts w:hint="default"/>
          <w:color w:val="000000" w:themeColor="text1"/>
          <w:sz w:val="24"/>
          <w:lang w:val="en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lang w:val="en" w:eastAsia="zh-CN"/>
          <w14:textFill>
            <w14:solidFill>
              <w14:schemeClr w14:val="tx1"/>
            </w14:solidFill>
          </w14:textFill>
        </w:rPr>
        <w:t>交易项目总揽、立即办理需要用户登录后才能办理。</w:t>
      </w:r>
    </w:p>
    <w:p>
      <w:pPr>
        <w:jc w:val="center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sz w:val="24"/>
        </w:rPr>
        <w:drawing>
          <wp:inline distT="0" distB="0" distL="0" distR="0">
            <wp:extent cx="3959860" cy="1896745"/>
            <wp:effectExtent l="0" t="0" r="2540" b="8255"/>
            <wp:docPr id="6" name="图片 6" descr="C:\Users\尚小楼\Desktop\02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尚小楼\Desktop\02.jpg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立即办理</w:t>
      </w:r>
      <w:r>
        <w:rPr>
          <w:rFonts w:hint="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sz w:val="24"/>
        </w:rPr>
        <w:drawing>
          <wp:inline distT="0" distB="0" distL="0" distR="0">
            <wp:extent cx="3959860" cy="1893570"/>
            <wp:effectExtent l="0" t="0" r="2540" b="1143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选择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湖南省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公共资源交易平台登录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959860" cy="1896745"/>
            <wp:effectExtent l="0" t="0" r="2540" b="8255"/>
            <wp:docPr id="11" name="图片 11" descr="C:\Users\尚小楼\Desktop\03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尚小楼\Desktop\03.jpg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完成交易主体类型选择、交易类型选择及行业选择。</w:t>
      </w:r>
    </w:p>
    <w:p>
      <w:pPr>
        <w:jc w:val="center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959860" cy="1900555"/>
            <wp:effectExtent l="0" t="0" r="2540" b="4445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9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完成前序工作后，即可进入具体办事环节。</w:t>
      </w:r>
    </w:p>
    <w:p>
      <w:pPr>
        <w:jc w:val="center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959860" cy="1900555"/>
            <wp:effectExtent l="0" t="0" r="2540" b="4445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9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1" w:firstLineChars="200"/>
        <w:jc w:val="left"/>
        <w:rPr>
          <w:rFonts w:ascii="仿宋" w:hAnsi="仿宋" w:eastAsia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注意：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未注册账号的用户，请</w:t>
      </w:r>
      <w:r>
        <w:rPr>
          <w:rFonts w:hint="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通过系统引导进行注册，并跳转至“公共资源交易统一注册平台”完善相关信息，完成相关实名制信息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。已注册账号的用户直接登录交易系统，无需重复注册。</w:t>
      </w:r>
    </w:p>
    <w:p>
      <w:pPr>
        <w:ind w:firstLine="480" w:firstLineChars="200"/>
        <w:jc w:val="left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  <w:sz w:val="24"/>
          <w:highlight w:val="yellow"/>
          <w:shd w:val="clear" w:color="auto" w:fill="FFC000"/>
        </w:rPr>
        <w:t>温馨提示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：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若登录注册平台提示已注册，交易系统又提示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“未匹配到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*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***单位主体信息”，请先到注册平台</w:t>
      </w:r>
      <w:r>
        <w:rPr>
          <w:rFonts w:hint="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（http://222.240.80.14:8888/G2/）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找回账号密码后，登录注册平台完善信息提交之后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，再尝试登录湖南一件事一次办“公共资源交易”一件事主题服务网站</w:t>
      </w:r>
      <w:r>
        <w:rPr>
          <w:rFonts w:hint="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，统一注册平台使用技术支持电话：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19372007716。</w:t>
      </w:r>
    </w:p>
    <w:p>
      <w:pPr>
        <w:rPr>
          <w:rFonts w:ascii="宋体" w:hAnsi="宋体" w:eastAsia="宋体" w:cs="宋体"/>
          <w:sz w:val="24"/>
          <w:szCs w:val="24"/>
        </w:rPr>
      </w:pPr>
      <w:bookmarkStart w:id="18" w:name="_Toc493610177"/>
      <w:bookmarkStart w:id="19" w:name="_Toc405561964"/>
    </w:p>
    <w:p>
      <w:pPr>
        <w:keepNext/>
        <w:keepLines/>
        <w:numPr>
          <w:ilvl w:val="0"/>
          <w:numId w:val="1"/>
        </w:numPr>
        <w:tabs>
          <w:tab w:val="left" w:pos="425"/>
        </w:tabs>
        <w:outlineLvl w:val="0"/>
        <w:rPr>
          <w:rFonts w:ascii="Times New Roman" w:hAnsi="Times New Roman" w:eastAsia="宋体" w:cs="Times New Roman"/>
          <w:b/>
          <w:bCs/>
          <w:color w:val="000000" w:themeColor="text1"/>
          <w:kern w:val="44"/>
          <w:sz w:val="32"/>
          <w:szCs w:val="28"/>
          <w14:textFill>
            <w14:solidFill>
              <w14:schemeClr w14:val="tx1"/>
            </w14:solidFill>
          </w14:textFill>
        </w:rPr>
      </w:pPr>
      <w:bookmarkStart w:id="20" w:name="_Toc16502"/>
      <w:bookmarkStart w:id="21" w:name="_Toc125985185"/>
      <w:bookmarkStart w:id="22" w:name="_Toc21746"/>
      <w:bookmarkStart w:id="23" w:name="_Toc25906"/>
      <w:bookmarkStart w:id="24" w:name="_Toc1076143826"/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44"/>
          <w:sz w:val="32"/>
          <w:szCs w:val="28"/>
          <w14:textFill>
            <w14:solidFill>
              <w14:schemeClr w14:val="tx1"/>
            </w14:solidFill>
          </w14:textFill>
        </w:rPr>
        <w:t>领取招标文件/答疑澄清文件</w:t>
      </w:r>
      <w:bookmarkEnd w:id="20"/>
      <w:bookmarkEnd w:id="21"/>
      <w:bookmarkEnd w:id="22"/>
      <w:bookmarkEnd w:id="23"/>
      <w:bookmarkEnd w:id="24"/>
    </w:p>
    <w:p>
      <w:pPr>
        <w:numPr>
          <w:ilvl w:val="0"/>
          <w:numId w:val="3"/>
        </w:numPr>
        <w:ind w:firstLine="481" w:firstLineChars="200"/>
        <w:jc w:val="left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5" w:name="_Toc1707070566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领取招标文件</w:t>
      </w:r>
      <w:bookmarkEnd w:id="25"/>
    </w:p>
    <w:p>
      <w:pPr>
        <w:ind w:firstLine="480" w:firstLineChars="200"/>
        <w:jc w:val="left"/>
        <w:rPr>
          <w:rFonts w:hint="eastAsia" w:ascii="宋体" w:hAnsi="宋体" w:eastAsia="宋体" w:cs="宋体"/>
          <w:color w:val="FF0000"/>
          <w:sz w:val="24"/>
          <w:szCs w:val="24"/>
          <w:highlight w:val="yellow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在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t>招标文件领取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 xml:space="preserve"> 菜单进行标书领取，可自行在系统下载“投标文件制作软件”进行标书制作，如需办理电子保函也可以点击“保证金创新服务支撑管理系统”进行电子保函办理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ind w:firstLine="420" w:firstLineChars="200"/>
        <w:jc w:val="center"/>
        <w:rPr>
          <w:rFonts w:ascii="宋体" w:hAnsi="宋体" w:eastAsia="宋体" w:cs="宋体"/>
          <w:b/>
          <w:sz w:val="24"/>
          <w:szCs w:val="24"/>
        </w:rPr>
      </w:pPr>
      <w:r>
        <w:drawing>
          <wp:inline distT="0" distB="0" distL="114300" distR="114300">
            <wp:extent cx="3959860" cy="2692400"/>
            <wp:effectExtent l="0" t="0" r="2540" b="12700"/>
            <wp:docPr id="45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true"/>
                    </pic:cNvPicPr>
                  </pic:nvPicPr>
                  <pic:blipFill>
                    <a:blip r:embed="rId11"/>
                    <a:srcRect t="18696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59860" cy="848995"/>
            <wp:effectExtent l="0" t="0" r="2540" b="8255"/>
            <wp:docPr id="2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8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b/>
          <w:sz w:val="24"/>
          <w:szCs w:val="24"/>
        </w:rPr>
      </w:pPr>
      <w:r>
        <w:drawing>
          <wp:inline distT="0" distB="0" distL="114300" distR="114300">
            <wp:extent cx="3959860" cy="2033905"/>
            <wp:effectExtent l="0" t="0" r="2540" b="4445"/>
            <wp:docPr id="28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81" w:firstLineChars="200"/>
        <w:jc w:val="left"/>
        <w:outlineLvl w:val="1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26" w:name="_Toc645599969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答疑澄清文件</w:t>
      </w:r>
      <w:bookmarkEnd w:id="26"/>
    </w:p>
    <w:p>
      <w:pPr>
        <w:pStyle w:val="47"/>
        <w:numPr>
          <w:ilvl w:val="0"/>
          <w:numId w:val="0"/>
        </w:numPr>
        <w:spacing w:line="240" w:lineRule="auto"/>
        <w:ind w:firstLine="480" w:firstLineChars="200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</w:rPr>
        <w:t>如</w:t>
      </w:r>
      <w:r>
        <w:rPr>
          <w:rFonts w:hint="eastAsia" w:ascii="宋体" w:hAnsi="宋体" w:cs="宋体"/>
          <w:sz w:val="24"/>
          <w:lang w:eastAsia="zh-CN"/>
        </w:rPr>
        <w:t>招标项目</w:t>
      </w:r>
      <w:r>
        <w:rPr>
          <w:rFonts w:hint="eastAsia" w:ascii="宋体" w:hAnsi="宋体" w:cs="宋体"/>
          <w:sz w:val="24"/>
        </w:rPr>
        <w:t>发布了答疑澄清文件，投标单位需要在”答疑澄清文件领取“菜单进行领取，导入投标文件制作软件进行制作，制作完成后上传到交易系统”上传投标文件“菜单（若未发布答疑澄清文件，无需操作这一步骤）</w:t>
      </w:r>
      <w:r>
        <w:rPr>
          <w:rFonts w:hint="eastAsia" w:ascii="宋体" w:hAnsi="宋体" w:cs="宋体"/>
          <w:sz w:val="24"/>
          <w:lang w:eastAsia="zh-CN"/>
        </w:rPr>
        <w:t>。</w:t>
      </w:r>
    </w:p>
    <w:p>
      <w:pPr>
        <w:pStyle w:val="47"/>
        <w:spacing w:line="240" w:lineRule="auto"/>
        <w:rPr>
          <w:rFonts w:ascii="宋体" w:hAnsi="宋体" w:cs="宋体"/>
          <w:sz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bookmarkStart w:id="27" w:name="_Toc125985186"/>
    </w:p>
    <w:p>
      <w:pPr>
        <w:keepNext/>
        <w:keepLines/>
        <w:numPr>
          <w:ilvl w:val="0"/>
          <w:numId w:val="1"/>
        </w:numPr>
        <w:tabs>
          <w:tab w:val="left" w:pos="425"/>
        </w:tabs>
        <w:outlineLvl w:val="0"/>
        <w:rPr>
          <w:rFonts w:hint="eastAsia" w:ascii="Times New Roman" w:hAnsi="Times New Roman" w:eastAsia="宋体" w:cs="Times New Roman"/>
          <w:b/>
          <w:bCs/>
          <w:color w:val="000000" w:themeColor="text1"/>
          <w:kern w:val="44"/>
          <w:sz w:val="32"/>
          <w:szCs w:val="28"/>
          <w:lang w:eastAsia="zh-CN"/>
          <w14:textFill>
            <w14:solidFill>
              <w14:schemeClr w14:val="tx1"/>
            </w14:solidFill>
          </w14:textFill>
        </w:rPr>
      </w:pPr>
      <w:bookmarkStart w:id="28" w:name="_Toc1108136952"/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44"/>
          <w:sz w:val="32"/>
          <w:szCs w:val="28"/>
          <w:lang w:eastAsia="zh-CN"/>
          <w14:textFill>
            <w14:solidFill>
              <w14:schemeClr w14:val="tx1"/>
            </w14:solidFill>
          </w14:textFill>
        </w:rPr>
        <w:t>提出质疑（集中采购项目）</w:t>
      </w:r>
      <w:bookmarkEnd w:id="28"/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1、质疑招标文件。供应商从获取（下载）招标文件之日起或获取（下载）招标文件截止之日起7个工作日内提出质疑；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 xml:space="preserve">    2、质疑开评标过程及结果。供应商从中标公告发布结束之日起7个工作日内提出质疑；登录入口如下图。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drawing>
          <wp:inline distT="0" distB="0" distL="114300" distR="114300">
            <wp:extent cx="5257800" cy="4360545"/>
            <wp:effectExtent l="0" t="0" r="0" b="1905"/>
            <wp:docPr id="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注：未下载招标文件的无法对招标文件提出质疑、未参与投标的无法对开评标过程及结果提出质疑；未在规定的时间内提出质疑的，不予受理；未按格式要求或没有加盖电子公章提出的质疑不予受理。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/>
        <w:keepLines/>
        <w:numPr>
          <w:ilvl w:val="0"/>
          <w:numId w:val="1"/>
        </w:numPr>
        <w:tabs>
          <w:tab w:val="left" w:pos="425"/>
        </w:tabs>
        <w:outlineLvl w:val="0"/>
        <w:rPr>
          <w:rFonts w:hint="eastAsia" w:ascii="Times New Roman" w:hAnsi="Times New Roman" w:eastAsia="宋体" w:cs="Times New Roman"/>
          <w:b/>
          <w:bCs/>
          <w:color w:val="000000" w:themeColor="text1"/>
          <w:kern w:val="44"/>
          <w:sz w:val="32"/>
          <w:szCs w:val="28"/>
          <w:lang w:eastAsia="zh-CN"/>
          <w14:textFill>
            <w14:solidFill>
              <w14:schemeClr w14:val="tx1"/>
            </w14:solidFill>
          </w14:textFill>
        </w:rPr>
      </w:pPr>
      <w:bookmarkStart w:id="29" w:name="_Toc472"/>
      <w:bookmarkStart w:id="30" w:name="_Toc798136593"/>
      <w:bookmarkStart w:id="31" w:name="_Toc12179"/>
      <w:bookmarkStart w:id="32" w:name="_Toc25729"/>
      <w:bookmarkStart w:id="33" w:name="_Toc26713"/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44"/>
          <w:sz w:val="32"/>
          <w:szCs w:val="28"/>
          <w:lang w:eastAsia="zh-CN"/>
          <w14:textFill>
            <w14:solidFill>
              <w14:schemeClr w14:val="tx1"/>
            </w14:solidFill>
          </w14:textFill>
        </w:rPr>
        <w:t>投标文件制作</w:t>
      </w:r>
      <w:bookmarkEnd w:id="29"/>
      <w:bookmarkEnd w:id="30"/>
    </w:p>
    <w:p>
      <w:pPr>
        <w:pStyle w:val="47"/>
        <w:spacing w:line="240" w:lineRule="auto"/>
        <w:rPr>
          <w:rFonts w:ascii="宋体" w:hAnsi="宋体" w:cs="宋体"/>
          <w:sz w:val="24"/>
        </w:rPr>
      </w:pPr>
      <w:bookmarkStart w:id="34" w:name="_Toc17041"/>
      <w:r>
        <w:rPr>
          <w:rFonts w:hint="eastAsia" w:ascii="宋体" w:hAnsi="宋体" w:cs="宋体"/>
          <w:sz w:val="24"/>
        </w:rPr>
        <w:t>1、下载安装投标文件制作软件</w:t>
      </w:r>
      <w:bookmarkEnd w:id="34"/>
    </w:p>
    <w:p>
      <w:pPr>
        <w:pStyle w:val="47"/>
        <w:spacing w:line="24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登录湖南省公共资源交易中心网址，从下载中心栏下载投标文件制作工具制作投标文件</w:t>
      </w: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808990" cy="1046480"/>
            <wp:effectExtent l="0" t="0" r="10160" b="127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9244" cy="104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spacing w:line="240" w:lineRule="auto"/>
        <w:ind w:firstLine="480" w:firstLineChars="20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运行软件，点击新建工程，点击浏览按钮，选择相应的招标文件。</w:t>
      </w:r>
    </w:p>
    <w:p>
      <w:pPr>
        <w:ind w:firstLine="14"/>
        <w:jc w:val="center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959860" cy="2098675"/>
            <wp:effectExtent l="0" t="0" r="2540" b="0"/>
            <wp:docPr id="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spacing w:line="240" w:lineRule="auto"/>
        <w:rPr>
          <w:rFonts w:ascii="宋体" w:hAnsi="宋体" w:cs="宋体"/>
          <w:sz w:val="24"/>
        </w:rPr>
      </w:pPr>
      <w:bookmarkStart w:id="35" w:name="_Toc28251"/>
      <w:r>
        <w:rPr>
          <w:rFonts w:hint="eastAsia" w:ascii="宋体" w:hAnsi="宋体" w:cs="宋体"/>
          <w:sz w:val="24"/>
        </w:rPr>
        <w:t>2、完善投标文件相关信息内容。</w:t>
      </w:r>
      <w:bookmarkEnd w:id="35"/>
    </w:p>
    <w:p>
      <w:pPr>
        <w:pStyle w:val="47"/>
        <w:spacing w:line="240" w:lineRule="auto"/>
        <w:ind w:firstLine="480" w:firstLineChars="20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点击左侧菜单栏，完善投标文件的相关信息</w:t>
      </w:r>
      <w:r>
        <w:rPr>
          <w:rFonts w:hint="eastAsia" w:ascii="宋体" w:hAnsi="宋体" w:cs="宋体"/>
          <w:sz w:val="24"/>
        </w:rPr>
        <w:t>，按章节根据招标文件要求上传投标资料。</w:t>
      </w:r>
    </w:p>
    <w:p>
      <w:pPr>
        <w:ind w:firstLine="14"/>
        <w:jc w:val="center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959860" cy="2336165"/>
            <wp:effectExtent l="0" t="0" r="2540" b="6985"/>
            <wp:docPr id="35" name="IM 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>
                      <a:picLocks noChangeAspect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spacing w:line="240" w:lineRule="auto"/>
        <w:rPr>
          <w:rFonts w:ascii="宋体" w:hAnsi="宋体" w:cs="宋体"/>
          <w:sz w:val="24"/>
        </w:rPr>
      </w:pPr>
      <w:bookmarkStart w:id="36" w:name="_Toc3595"/>
      <w:r>
        <w:rPr>
          <w:rFonts w:hint="eastAsia" w:ascii="宋体" w:hAnsi="宋体" w:cs="宋体"/>
          <w:sz w:val="24"/>
        </w:rPr>
        <w:t>3、生成投标文件</w:t>
      </w:r>
      <w:bookmarkEnd w:id="36"/>
    </w:p>
    <w:p>
      <w:pPr>
        <w:pStyle w:val="47"/>
        <w:spacing w:line="240" w:lineRule="auto"/>
        <w:ind w:firstLine="480" w:firstLineChars="200"/>
        <w:rPr>
          <w:rFonts w:ascii="宋体" w:hAnsi="宋体" w:cs="宋体"/>
          <w:sz w:val="24"/>
        </w:rPr>
      </w:pPr>
      <w:bookmarkStart w:id="37" w:name="_Toc16132"/>
      <w:r>
        <w:rPr>
          <w:rFonts w:hint="eastAsia" w:ascii="宋体" w:hAnsi="宋体" w:cs="宋体"/>
          <w:sz w:val="24"/>
        </w:rPr>
        <w:t>（1）批量转换</w:t>
      </w:r>
      <w:bookmarkEnd w:id="37"/>
    </w:p>
    <w:p>
      <w:pPr>
        <w:pStyle w:val="47"/>
        <w:spacing w:line="240" w:lineRule="auto"/>
        <w:ind w:firstLine="480" w:firstLineChars="20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点击1批量转换，转换所有文件</w:t>
      </w:r>
    </w:p>
    <w:p>
      <w:pPr>
        <w:ind w:firstLine="14"/>
        <w:jc w:val="center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959860" cy="1986915"/>
            <wp:effectExtent l="0" t="0" r="2540" b="0"/>
            <wp:docPr id="36" name="IM 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9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spacing w:line="240" w:lineRule="auto"/>
        <w:ind w:firstLine="480" w:firstLineChars="20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待显示转换成功，可进行下一步标书签章</w:t>
      </w:r>
    </w:p>
    <w:p>
      <w:pPr>
        <w:ind w:firstLine="14"/>
        <w:jc w:val="center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959860" cy="1932940"/>
            <wp:effectExtent l="0" t="0" r="2540" b="0"/>
            <wp:docPr id="37" name="IM 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spacing w:line="240" w:lineRule="auto"/>
        <w:ind w:firstLine="480" w:firstLineChars="200"/>
        <w:rPr>
          <w:rFonts w:ascii="宋体" w:hAnsi="宋体" w:cs="宋体"/>
          <w:sz w:val="24"/>
        </w:rPr>
      </w:pPr>
      <w:bookmarkStart w:id="38" w:name="_Toc20586"/>
      <w:r>
        <w:rPr>
          <w:rFonts w:hint="eastAsia" w:ascii="宋体" w:hAnsi="宋体" w:cs="宋体"/>
          <w:sz w:val="24"/>
        </w:rPr>
        <w:t>（2）标书签章</w:t>
      </w:r>
      <w:bookmarkEnd w:id="38"/>
    </w:p>
    <w:p>
      <w:pPr>
        <w:pStyle w:val="47"/>
        <w:spacing w:line="240" w:lineRule="auto"/>
        <w:ind w:firstLine="480" w:firstLineChars="20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点击2标书签章，进入签章页面</w:t>
      </w:r>
      <w:r>
        <w:rPr>
          <w:rFonts w:hint="eastAsia" w:ascii="宋体" w:hAnsi="宋体" w:cs="宋体"/>
          <w:sz w:val="24"/>
        </w:rPr>
        <w:t>，运用数字证书对电子投标文件进行加密，并将加密后的电子投标文件上传至交易平台</w:t>
      </w:r>
    </w:p>
    <w:p>
      <w:pPr>
        <w:pStyle w:val="47"/>
        <w:spacing w:line="24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注：未加密的电子投标文件将无法上传至交易平台</w:t>
      </w:r>
    </w:p>
    <w:p>
      <w:pPr>
        <w:ind w:firstLine="11"/>
        <w:jc w:val="center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959860" cy="1882775"/>
            <wp:effectExtent l="0" t="0" r="2540" b="3175"/>
            <wp:docPr id="38" name="IM 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spacing w:line="240" w:lineRule="auto"/>
        <w:ind w:firstLine="480" w:firstLineChars="20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插入签章锁，点击签章图标，输入密码，并在合适的位置，单击进行签</w:t>
      </w:r>
      <w:bookmarkStart w:id="56" w:name="_GoBack"/>
      <w:bookmarkEnd w:id="56"/>
      <w:r>
        <w:rPr>
          <w:rFonts w:ascii="宋体" w:hAnsi="宋体" w:cs="宋体"/>
          <w:sz w:val="24"/>
        </w:rPr>
        <w:t>章。签完，点击下一章，进行后续章节的签章流程。</w:t>
      </w:r>
    </w:p>
    <w:p>
      <w:pPr>
        <w:ind w:firstLine="14"/>
        <w:jc w:val="center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959860" cy="2807970"/>
            <wp:effectExtent l="0" t="0" r="2540" b="0"/>
            <wp:docPr id="39" name="IM 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spacing w:line="240" w:lineRule="auto"/>
        <w:ind w:firstLine="480" w:firstLineChars="20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请在指定位置签下对应的签章(例如：单位章签在需签单位章的位置，法人章签在需签单位章的位置。)</w:t>
      </w:r>
    </w:p>
    <w:p>
      <w:pPr>
        <w:ind w:firstLine="14"/>
        <w:jc w:val="center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959860" cy="2656205"/>
            <wp:effectExtent l="0" t="0" r="2540" b="0"/>
            <wp:docPr id="40" name="IM 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spacing w:line="240" w:lineRule="auto"/>
        <w:ind w:firstLine="480" w:firstLineChars="20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待签章完毕，进行下一步预览标书</w:t>
      </w:r>
    </w:p>
    <w:p>
      <w:pPr>
        <w:pStyle w:val="47"/>
        <w:spacing w:line="24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注：未按要求制作的电子投标文件，影响投标文件的上传</w:t>
      </w:r>
    </w:p>
    <w:p>
      <w:pPr>
        <w:pStyle w:val="47"/>
        <w:spacing w:line="240" w:lineRule="auto"/>
        <w:ind w:firstLine="480" w:firstLineChars="200"/>
        <w:rPr>
          <w:rFonts w:ascii="宋体" w:hAnsi="宋体" w:cs="宋体"/>
          <w:sz w:val="24"/>
        </w:rPr>
      </w:pPr>
      <w:bookmarkStart w:id="39" w:name="_Toc29175"/>
      <w:r>
        <w:rPr>
          <w:rFonts w:hint="eastAsia" w:ascii="宋体" w:hAnsi="宋体" w:cs="宋体"/>
          <w:sz w:val="24"/>
        </w:rPr>
        <w:t>（3）预览标书</w:t>
      </w:r>
      <w:bookmarkEnd w:id="39"/>
    </w:p>
    <w:p>
      <w:pPr>
        <w:pStyle w:val="47"/>
        <w:spacing w:line="240" w:lineRule="auto"/>
        <w:ind w:firstLine="480" w:firstLineChars="20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点击3预览标书，进行标书信息的检查，确认无误后，可进行下一步生成标书。</w:t>
      </w:r>
    </w:p>
    <w:p>
      <w:pPr>
        <w:ind w:firstLine="14"/>
        <w:jc w:val="center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959860" cy="2656205"/>
            <wp:effectExtent l="0" t="0" r="2540" b="0"/>
            <wp:docPr id="41" name="IM 4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spacing w:line="240" w:lineRule="auto"/>
        <w:ind w:firstLine="480" w:firstLineChars="200"/>
        <w:rPr>
          <w:rFonts w:ascii="宋体" w:hAnsi="宋体" w:cs="宋体"/>
          <w:sz w:val="24"/>
        </w:rPr>
      </w:pPr>
    </w:p>
    <w:p>
      <w:pPr>
        <w:pStyle w:val="47"/>
        <w:spacing w:line="240" w:lineRule="auto"/>
        <w:ind w:firstLine="480" w:firstLineChars="200"/>
        <w:rPr>
          <w:rFonts w:ascii="宋体" w:hAnsi="宋体" w:cs="宋体"/>
          <w:sz w:val="24"/>
        </w:rPr>
      </w:pPr>
      <w:bookmarkStart w:id="40" w:name="_Toc1032"/>
      <w:r>
        <w:rPr>
          <w:rFonts w:hint="eastAsia" w:ascii="宋体" w:hAnsi="宋体" w:cs="宋体"/>
          <w:sz w:val="24"/>
        </w:rPr>
        <w:t>（4）生成标书</w:t>
      </w:r>
      <w:bookmarkEnd w:id="40"/>
    </w:p>
    <w:p>
      <w:pPr>
        <w:pStyle w:val="47"/>
        <w:spacing w:line="240" w:lineRule="auto"/>
        <w:ind w:firstLine="480" w:firstLineChars="20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点击4生成标书，并将生成的标书保存到本地文件夹。确认后便完成了投标文件的制作。</w:t>
      </w:r>
    </w:p>
    <w:p>
      <w:pPr>
        <w:ind w:firstLine="14"/>
        <w:jc w:val="center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959860" cy="2685415"/>
            <wp:effectExtent l="0" t="0" r="2540" b="635"/>
            <wp:docPr id="42" name="IM 4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"/>
        <w:jc w:val="center"/>
        <w:textAlignment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959860" cy="2508885"/>
            <wp:effectExtent l="0" t="0" r="2540" b="5715"/>
            <wp:docPr id="7" name="IM 4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43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5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"/>
        <w:jc w:val="center"/>
        <w:textAlignment w:val="center"/>
        <w:rPr>
          <w:rFonts w:ascii="宋体" w:hAnsi="宋体" w:eastAsia="宋体" w:cs="宋体"/>
          <w:sz w:val="24"/>
          <w:szCs w:val="24"/>
        </w:rPr>
      </w:pPr>
      <w:r>
        <w:rPr>
          <w:sz w:val="28"/>
          <w:szCs w:val="28"/>
        </w:rPr>
        <w:drawing>
          <wp:inline distT="0" distB="0" distL="0" distR="0">
            <wp:extent cx="3959860" cy="2559050"/>
            <wp:effectExtent l="0" t="0" r="2540" b="0"/>
            <wp:docPr id="12" name="IM 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44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tabs>
          <w:tab w:val="left" w:pos="425"/>
        </w:tabs>
        <w:ind w:leftChars="0"/>
        <w:outlineLvl w:val="0"/>
        <w:rPr>
          <w:rFonts w:ascii="Times New Roman" w:hAnsi="Times New Roman" w:eastAsia="宋体" w:cs="Times New Roman"/>
          <w:b/>
          <w:bCs/>
          <w:color w:val="000000" w:themeColor="text1"/>
          <w:kern w:val="44"/>
          <w:sz w:val="32"/>
          <w:szCs w:val="28"/>
          <w14:textFill>
            <w14:solidFill>
              <w14:schemeClr w14:val="tx1"/>
            </w14:solidFill>
          </w14:textFill>
        </w:rPr>
      </w:pPr>
      <w:bookmarkStart w:id="41" w:name="_Toc1354942840"/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44"/>
          <w:sz w:val="32"/>
          <w:szCs w:val="28"/>
          <w:lang w:eastAsia="zh-CN"/>
          <w14:textFill>
            <w14:solidFill>
              <w14:schemeClr w14:val="tx1"/>
            </w14:solidFill>
          </w14:textFill>
        </w:rPr>
        <w:t>五、上传投标文件</w:t>
      </w:r>
      <w:bookmarkEnd w:id="27"/>
      <w:bookmarkEnd w:id="31"/>
      <w:bookmarkEnd w:id="32"/>
      <w:bookmarkEnd w:id="33"/>
      <w:bookmarkEnd w:id="41"/>
    </w:p>
    <w:p>
      <w:pPr>
        <w:pStyle w:val="47"/>
        <w:spacing w:line="240" w:lineRule="auto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在制作软件制作完标书之后把投标文件上传到系统，上传后可以操作模拟解密，如有问题可以联系4009980000</w:t>
      </w:r>
    </w:p>
    <w:p>
      <w:pPr>
        <w:pStyle w:val="47"/>
        <w:spacing w:line="240" w:lineRule="auto"/>
        <w:ind w:firstLine="420" w:firstLineChars="200"/>
        <w:jc w:val="center"/>
      </w:pPr>
      <w:r>
        <w:drawing>
          <wp:inline distT="0" distB="0" distL="114300" distR="114300">
            <wp:extent cx="5266690" cy="4531995"/>
            <wp:effectExtent l="0" t="0" r="10160" b="1905"/>
            <wp:docPr id="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7"/>
        <w:spacing w:line="240" w:lineRule="auto"/>
        <w:ind w:firstLine="420" w:firstLineChars="200"/>
        <w:jc w:val="center"/>
        <w:rPr>
          <w:rFonts w:hint="eastAsia"/>
        </w:rPr>
      </w:pPr>
    </w:p>
    <w:p>
      <w:pPr>
        <w:pStyle w:val="47"/>
        <w:spacing w:line="240" w:lineRule="auto"/>
        <w:jc w:val="center"/>
        <w:rPr>
          <w:rFonts w:ascii="宋体" w:hAnsi="宋体" w:cs="宋体"/>
          <w:sz w:val="24"/>
        </w:rPr>
      </w:pPr>
      <w:r>
        <w:drawing>
          <wp:inline distT="0" distB="0" distL="114300" distR="114300">
            <wp:extent cx="4406265" cy="1165225"/>
            <wp:effectExtent l="0" t="0" r="13335" b="15875"/>
            <wp:docPr id="29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0" distR="0">
            <wp:extent cx="4355465" cy="2118360"/>
            <wp:effectExtent l="0" t="0" r="6985" b="15240"/>
            <wp:docPr id="49" name="图片 4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0"/>
        </w:numPr>
        <w:tabs>
          <w:tab w:val="left" w:pos="425"/>
        </w:tabs>
        <w:ind w:leftChars="0"/>
        <w:outlineLvl w:val="0"/>
        <w:rPr>
          <w:rFonts w:hint="eastAsia" w:ascii="Times New Roman" w:hAnsi="Times New Roman" w:eastAsia="宋体" w:cs="Times New Roman"/>
          <w:b/>
          <w:bCs/>
          <w:color w:val="000000" w:themeColor="text1"/>
          <w:kern w:val="44"/>
          <w:sz w:val="32"/>
          <w:szCs w:val="28"/>
          <w:lang w:eastAsia="zh-CN"/>
          <w14:textFill>
            <w14:solidFill>
              <w14:schemeClr w14:val="tx1"/>
            </w14:solidFill>
          </w14:textFill>
        </w:rPr>
      </w:pPr>
      <w:bookmarkStart w:id="42" w:name="_Toc16545"/>
      <w:bookmarkStart w:id="43" w:name="_Toc9418"/>
      <w:bookmarkStart w:id="44" w:name="_Toc125985187"/>
      <w:bookmarkStart w:id="45" w:name="_Toc15917"/>
    </w:p>
    <w:bookmarkEnd w:id="42"/>
    <w:bookmarkEnd w:id="43"/>
    <w:bookmarkEnd w:id="44"/>
    <w:bookmarkEnd w:id="45"/>
    <w:p>
      <w:pPr>
        <w:keepNext/>
        <w:keepLines/>
        <w:numPr>
          <w:ilvl w:val="0"/>
          <w:numId w:val="4"/>
        </w:numPr>
        <w:tabs>
          <w:tab w:val="left" w:pos="425"/>
        </w:tabs>
        <w:ind w:leftChars="0"/>
        <w:outlineLvl w:val="0"/>
        <w:rPr>
          <w:rFonts w:hint="eastAsia" w:ascii="Times New Roman" w:hAnsi="Times New Roman" w:eastAsia="宋体" w:cs="Times New Roman"/>
          <w:b/>
          <w:bCs/>
          <w:color w:val="000000" w:themeColor="text1"/>
          <w:kern w:val="44"/>
          <w:sz w:val="32"/>
          <w:szCs w:val="28"/>
          <w:lang w:eastAsia="zh-CN"/>
          <w14:textFill>
            <w14:solidFill>
              <w14:schemeClr w14:val="tx1"/>
            </w14:solidFill>
          </w14:textFill>
        </w:rPr>
      </w:pPr>
      <w:bookmarkStart w:id="46" w:name="_Toc1427960273"/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44"/>
          <w:sz w:val="32"/>
          <w:szCs w:val="28"/>
          <w:lang w:eastAsia="zh-CN"/>
          <w14:textFill>
            <w14:solidFill>
              <w14:schemeClr w14:val="tx1"/>
            </w14:solidFill>
          </w14:textFill>
        </w:rPr>
        <w:t>开标</w:t>
      </w:r>
      <w:bookmarkEnd w:id="46"/>
    </w:p>
    <w:p>
      <w:pPr>
        <w:pStyle w:val="47"/>
        <w:spacing w:line="240" w:lineRule="auto"/>
        <w:ind w:firstLine="480" w:firstLineChars="200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当天投标人可从交易系统“不见面开标签到解密”进入不见面开标大厅进行开标解密操作。</w:t>
      </w:r>
    </w:p>
    <w:p>
      <w:pPr>
        <w:pStyle w:val="47"/>
        <w:spacing w:line="240" w:lineRule="auto"/>
        <w:ind w:firstLine="420" w:firstLineChars="200"/>
        <w:rPr>
          <w:rFonts w:hint="eastAsia" w:ascii="宋体" w:hAnsi="宋体" w:cs="宋体"/>
          <w:sz w:val="24"/>
        </w:rPr>
      </w:pPr>
      <w:r>
        <w:drawing>
          <wp:inline distT="0" distB="0" distL="114300" distR="114300">
            <wp:extent cx="5266055" cy="4739005"/>
            <wp:effectExtent l="0" t="0" r="10795" b="4445"/>
            <wp:docPr id="10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7"/>
        <w:spacing w:line="240" w:lineRule="auto"/>
        <w:jc w:val="center"/>
        <w:rPr>
          <w:rFonts w:ascii="宋体" w:hAnsi="宋体" w:cs="宋体"/>
          <w:sz w:val="24"/>
        </w:rPr>
      </w:pPr>
      <w:r>
        <w:drawing>
          <wp:inline distT="0" distB="0" distL="114300" distR="114300">
            <wp:extent cx="4560570" cy="920115"/>
            <wp:effectExtent l="0" t="0" r="11430" b="13335"/>
            <wp:docPr id="44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4"/>
        </w:numPr>
        <w:tabs>
          <w:tab w:val="left" w:pos="425"/>
        </w:tabs>
        <w:ind w:leftChars="0"/>
        <w:outlineLvl w:val="0"/>
        <w:rPr>
          <w:rFonts w:hint="eastAsia" w:ascii="Times New Roman" w:hAnsi="Times New Roman" w:eastAsia="宋体" w:cs="Times New Roman"/>
          <w:b/>
          <w:bCs/>
          <w:color w:val="000000" w:themeColor="text1"/>
          <w:kern w:val="44"/>
          <w:sz w:val="32"/>
          <w:szCs w:val="28"/>
          <w:lang w:eastAsia="zh-CN"/>
          <w14:textFill>
            <w14:solidFill>
              <w14:schemeClr w14:val="tx1"/>
            </w14:solidFill>
          </w14:textFill>
        </w:rPr>
      </w:pPr>
      <w:bookmarkStart w:id="47" w:name="_Toc125985188"/>
      <w:bookmarkStart w:id="48" w:name="_Toc6119"/>
      <w:bookmarkStart w:id="49" w:name="_Toc13627"/>
      <w:bookmarkStart w:id="50" w:name="_Toc8830"/>
      <w:bookmarkStart w:id="51" w:name="_Toc47496473"/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44"/>
          <w:sz w:val="32"/>
          <w:szCs w:val="28"/>
          <w:lang w:eastAsia="zh-CN"/>
          <w14:textFill>
            <w14:solidFill>
              <w14:schemeClr w14:val="tx1"/>
            </w14:solidFill>
          </w14:textFill>
        </w:rPr>
        <w:t>评标</w:t>
      </w:r>
      <w:bookmarkEnd w:id="47"/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44"/>
          <w:sz w:val="32"/>
          <w:szCs w:val="28"/>
          <w:lang w:eastAsia="zh-CN"/>
          <w14:textFill>
            <w14:solidFill>
              <w14:schemeClr w14:val="tx1"/>
            </w14:solidFill>
          </w14:textFill>
        </w:rPr>
        <w:t>澄清</w:t>
      </w:r>
      <w:bookmarkEnd w:id="48"/>
      <w:bookmarkEnd w:id="49"/>
      <w:bookmarkEnd w:id="50"/>
      <w:bookmarkEnd w:id="51"/>
    </w:p>
    <w:p>
      <w:pPr>
        <w:pStyle w:val="47"/>
        <w:spacing w:line="24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投标人在评标过程按需进行评标澄清回复。若评委对投标单位发起评标澄清，投标单位登录交易系统，进入项目所在模块的“评标澄清回复”，在规定的时间内进行线上澄清</w:t>
      </w:r>
    </w:p>
    <w:p>
      <w:pPr>
        <w:pStyle w:val="47"/>
        <w:spacing w:line="24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/>
          <w:color w:val="FF0000"/>
          <w:sz w:val="24"/>
          <w:highlight w:val="yellow"/>
          <w:shd w:val="clear" w:color="auto" w:fill="FFC000"/>
        </w:rPr>
        <w:t>温馨提示</w:t>
      </w:r>
      <w:r>
        <w:rPr>
          <w:rFonts w:hint="eastAsia" w:ascii="宋体" w:hAnsi="宋体" w:cs="宋体"/>
          <w:sz w:val="24"/>
        </w:rPr>
        <w:t>：评标过程中各投标人应及时关注交易系统中的消息，若评标委员会向投标人发起澄清，投标人应在规定时间内做出答复，未及时澄清答复导致的后果由投标人自行承担责任。</w:t>
      </w:r>
    </w:p>
    <w:p>
      <w:pPr>
        <w:pStyle w:val="47"/>
        <w:spacing w:line="240" w:lineRule="auto"/>
        <w:ind w:firstLine="480" w:firstLineChars="200"/>
        <w:jc w:val="center"/>
        <w:rPr>
          <w:rFonts w:ascii="宋体" w:hAnsi="宋体" w:cs="宋体"/>
          <w:sz w:val="24"/>
        </w:rPr>
      </w:pPr>
    </w:p>
    <w:p>
      <w:pPr>
        <w:pStyle w:val="47"/>
        <w:spacing w:line="240" w:lineRule="auto"/>
        <w:ind w:firstLine="420" w:firstLineChars="200"/>
        <w:jc w:val="center"/>
      </w:pPr>
      <w:r>
        <w:drawing>
          <wp:inline distT="0" distB="0" distL="114300" distR="114300">
            <wp:extent cx="5271135" cy="5114290"/>
            <wp:effectExtent l="0" t="0" r="5715" b="10160"/>
            <wp:docPr id="13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1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7"/>
        <w:spacing w:line="240" w:lineRule="auto"/>
        <w:ind w:firstLine="420" w:firstLineChars="200"/>
        <w:jc w:val="center"/>
      </w:pPr>
    </w:p>
    <w:p>
      <w:pPr>
        <w:pStyle w:val="47"/>
        <w:spacing w:line="240" w:lineRule="auto"/>
        <w:jc w:val="center"/>
        <w:rPr>
          <w:rFonts w:ascii="宋体" w:hAnsi="宋体" w:cs="宋体"/>
          <w:sz w:val="24"/>
        </w:rPr>
      </w:pPr>
      <w:r>
        <w:drawing>
          <wp:inline distT="0" distB="0" distL="114300" distR="114300">
            <wp:extent cx="4977765" cy="1375410"/>
            <wp:effectExtent l="0" t="0" r="13335" b="15240"/>
            <wp:docPr id="43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4"/>
        </w:numPr>
        <w:tabs>
          <w:tab w:val="left" w:pos="425"/>
        </w:tabs>
        <w:ind w:leftChars="0"/>
        <w:outlineLvl w:val="0"/>
        <w:rPr>
          <w:rFonts w:hint="eastAsia" w:ascii="Times New Roman" w:hAnsi="Times New Roman" w:eastAsia="宋体" w:cs="Times New Roman"/>
          <w:b/>
          <w:bCs/>
          <w:color w:val="000000" w:themeColor="text1"/>
          <w:kern w:val="44"/>
          <w:sz w:val="32"/>
          <w:szCs w:val="28"/>
          <w:lang w:eastAsia="zh-CN"/>
          <w14:textFill>
            <w14:solidFill>
              <w14:schemeClr w14:val="tx1"/>
            </w14:solidFill>
          </w14:textFill>
        </w:rPr>
      </w:pPr>
      <w:bookmarkStart w:id="52" w:name="_Toc25740"/>
      <w:bookmarkStart w:id="53" w:name="_Toc25745"/>
      <w:bookmarkStart w:id="54" w:name="_Toc23709"/>
      <w:bookmarkStart w:id="55" w:name="_Toc625592079"/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44"/>
          <w:sz w:val="32"/>
          <w:szCs w:val="28"/>
          <w:lang w:eastAsia="zh-CN"/>
          <w14:textFill>
            <w14:solidFill>
              <w14:schemeClr w14:val="tx1"/>
            </w14:solidFill>
          </w14:textFill>
        </w:rPr>
        <w:t>其他</w:t>
      </w:r>
      <w:bookmarkEnd w:id="52"/>
      <w:bookmarkEnd w:id="53"/>
      <w:bookmarkEnd w:id="54"/>
      <w:bookmarkEnd w:id="55"/>
    </w:p>
    <w:p>
      <w:pPr>
        <w:pStyle w:val="47"/>
        <w:spacing w:line="240" w:lineRule="auto"/>
        <w:ind w:firstLine="480" w:firstLineChars="200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</w:rPr>
        <w:t>中标通知书：</w:t>
      </w:r>
      <w:r>
        <w:rPr>
          <w:rFonts w:hint="eastAsia" w:ascii="宋体" w:hAnsi="宋体" w:cs="宋体"/>
          <w:sz w:val="24"/>
          <w:lang w:eastAsia="zh-CN"/>
        </w:rPr>
        <w:t>中标公告</w:t>
      </w:r>
      <w:r>
        <w:rPr>
          <w:rFonts w:hint="eastAsia" w:ascii="宋体" w:hAnsi="宋体" w:cs="宋体"/>
          <w:sz w:val="24"/>
        </w:rPr>
        <w:t>发布后，中标单位可以在</w:t>
      </w:r>
      <w:r>
        <w:rPr>
          <w:rFonts w:hint="eastAsia" w:ascii="宋体" w:hAnsi="宋体" w:cs="宋体"/>
          <w:sz w:val="24"/>
          <w:lang w:eastAsia="zh-CN"/>
        </w:rPr>
        <w:t>交易</w:t>
      </w:r>
      <w:r>
        <w:rPr>
          <w:rFonts w:hint="eastAsia" w:ascii="宋体" w:hAnsi="宋体" w:cs="宋体"/>
          <w:sz w:val="24"/>
        </w:rPr>
        <w:t>系统查看</w:t>
      </w:r>
      <w:bookmarkEnd w:id="18"/>
      <w:bookmarkEnd w:id="19"/>
      <w:r>
        <w:rPr>
          <w:rFonts w:hint="eastAsia" w:ascii="宋体" w:hAnsi="宋体" w:cs="宋体"/>
          <w:sz w:val="24"/>
          <w:lang w:eastAsia="zh-CN"/>
        </w:rPr>
        <w:t>、下载中标通知书。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ctionIcon ! important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uEOqPxwCAAAr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ABE984"/>
    <w:multiLevelType w:val="singleLevel"/>
    <w:tmpl w:val="9FABE98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FDB4B48"/>
    <w:multiLevelType w:val="singleLevel"/>
    <w:tmpl w:val="BFDB4B4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FFE7BCD"/>
    <w:multiLevelType w:val="singleLevel"/>
    <w:tmpl w:val="4FFE7BCD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isLgl/>
      <w:lvlText w:val="%1.%2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283" w:firstLine="0"/>
      </w:pPr>
      <w:rPr>
        <w:rFonts w:hint="default" w:ascii="Times New Roman" w:hAnsi="Times New Roman" w:cs="Times New Roman"/>
        <w:b/>
        <w:i w:val="0"/>
      </w:rPr>
    </w:lvl>
    <w:lvl w:ilvl="3" w:tentative="0">
      <w:start w:val="1"/>
      <w:numFmt w:val="decimal"/>
      <w:pStyle w:val="5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6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iYzE0YzBhOTVhMjZmNmM5Y2RiZGY0MDJlMDNkZDcifQ=="/>
  </w:docVars>
  <w:rsids>
    <w:rsidRoot w:val="00BA0993"/>
    <w:rsid w:val="000046D5"/>
    <w:rsid w:val="00022B55"/>
    <w:rsid w:val="0003422B"/>
    <w:rsid w:val="00143961"/>
    <w:rsid w:val="00187C7B"/>
    <w:rsid w:val="001A1F60"/>
    <w:rsid w:val="001E28FF"/>
    <w:rsid w:val="001F4968"/>
    <w:rsid w:val="002637EC"/>
    <w:rsid w:val="002E3440"/>
    <w:rsid w:val="003064C6"/>
    <w:rsid w:val="00386048"/>
    <w:rsid w:val="003A560B"/>
    <w:rsid w:val="003F0C45"/>
    <w:rsid w:val="004208F9"/>
    <w:rsid w:val="004478DF"/>
    <w:rsid w:val="00467200"/>
    <w:rsid w:val="00473E10"/>
    <w:rsid w:val="004743EE"/>
    <w:rsid w:val="0047452F"/>
    <w:rsid w:val="00493D5E"/>
    <w:rsid w:val="004B35EF"/>
    <w:rsid w:val="00503621"/>
    <w:rsid w:val="00570D01"/>
    <w:rsid w:val="00587C9D"/>
    <w:rsid w:val="005A44E9"/>
    <w:rsid w:val="005E236C"/>
    <w:rsid w:val="005E324C"/>
    <w:rsid w:val="005E65AD"/>
    <w:rsid w:val="005F6495"/>
    <w:rsid w:val="00602117"/>
    <w:rsid w:val="006153FE"/>
    <w:rsid w:val="00622C0E"/>
    <w:rsid w:val="0067773A"/>
    <w:rsid w:val="006A01C8"/>
    <w:rsid w:val="006C3458"/>
    <w:rsid w:val="006F2E40"/>
    <w:rsid w:val="006F73EC"/>
    <w:rsid w:val="00705587"/>
    <w:rsid w:val="00732362"/>
    <w:rsid w:val="007452FA"/>
    <w:rsid w:val="00755B02"/>
    <w:rsid w:val="0075774F"/>
    <w:rsid w:val="00771E91"/>
    <w:rsid w:val="00780120"/>
    <w:rsid w:val="007A7C1F"/>
    <w:rsid w:val="007C337E"/>
    <w:rsid w:val="00814A1B"/>
    <w:rsid w:val="00821840"/>
    <w:rsid w:val="008745B9"/>
    <w:rsid w:val="0087683C"/>
    <w:rsid w:val="00882388"/>
    <w:rsid w:val="0089551A"/>
    <w:rsid w:val="008A6684"/>
    <w:rsid w:val="008E7857"/>
    <w:rsid w:val="008F6C28"/>
    <w:rsid w:val="00915664"/>
    <w:rsid w:val="0096514B"/>
    <w:rsid w:val="00974E8B"/>
    <w:rsid w:val="00994B8A"/>
    <w:rsid w:val="009A073B"/>
    <w:rsid w:val="009E1EE7"/>
    <w:rsid w:val="00A00664"/>
    <w:rsid w:val="00A53CBD"/>
    <w:rsid w:val="00A55940"/>
    <w:rsid w:val="00A83A59"/>
    <w:rsid w:val="00A97EE5"/>
    <w:rsid w:val="00AB4E12"/>
    <w:rsid w:val="00AC399B"/>
    <w:rsid w:val="00AE3C1E"/>
    <w:rsid w:val="00AE688B"/>
    <w:rsid w:val="00BA0993"/>
    <w:rsid w:val="00BA2E27"/>
    <w:rsid w:val="00BB57FB"/>
    <w:rsid w:val="00BD44D3"/>
    <w:rsid w:val="00C04904"/>
    <w:rsid w:val="00C06C88"/>
    <w:rsid w:val="00C60424"/>
    <w:rsid w:val="00C707B8"/>
    <w:rsid w:val="00CC13C0"/>
    <w:rsid w:val="00D07F17"/>
    <w:rsid w:val="00D31C58"/>
    <w:rsid w:val="00D441BB"/>
    <w:rsid w:val="00D47093"/>
    <w:rsid w:val="00D73FF0"/>
    <w:rsid w:val="00D779B5"/>
    <w:rsid w:val="00D93811"/>
    <w:rsid w:val="00D93D22"/>
    <w:rsid w:val="00DC727E"/>
    <w:rsid w:val="00DD44AE"/>
    <w:rsid w:val="00DD65F0"/>
    <w:rsid w:val="00E12683"/>
    <w:rsid w:val="00F26CE7"/>
    <w:rsid w:val="00F76951"/>
    <w:rsid w:val="00F86DE1"/>
    <w:rsid w:val="00FB04F8"/>
    <w:rsid w:val="00FB412A"/>
    <w:rsid w:val="00FC1842"/>
    <w:rsid w:val="00FC7D5B"/>
    <w:rsid w:val="018450D5"/>
    <w:rsid w:val="01E427B1"/>
    <w:rsid w:val="02F00A18"/>
    <w:rsid w:val="032C4E8C"/>
    <w:rsid w:val="04673D9F"/>
    <w:rsid w:val="04D42AAB"/>
    <w:rsid w:val="04E76AA6"/>
    <w:rsid w:val="05A42949"/>
    <w:rsid w:val="07AC1F33"/>
    <w:rsid w:val="07C10826"/>
    <w:rsid w:val="088E2A01"/>
    <w:rsid w:val="09376339"/>
    <w:rsid w:val="096841CA"/>
    <w:rsid w:val="097B0B7E"/>
    <w:rsid w:val="09BF339B"/>
    <w:rsid w:val="09CE4F7E"/>
    <w:rsid w:val="0A61573C"/>
    <w:rsid w:val="0BC3400A"/>
    <w:rsid w:val="0C3D4DEF"/>
    <w:rsid w:val="0F2A0D9B"/>
    <w:rsid w:val="10DC63C8"/>
    <w:rsid w:val="11245456"/>
    <w:rsid w:val="11A46C3F"/>
    <w:rsid w:val="122160E2"/>
    <w:rsid w:val="12731B93"/>
    <w:rsid w:val="1378002E"/>
    <w:rsid w:val="137B00F0"/>
    <w:rsid w:val="150C7E6E"/>
    <w:rsid w:val="150F3DEE"/>
    <w:rsid w:val="15A714A2"/>
    <w:rsid w:val="15DC4F2E"/>
    <w:rsid w:val="162A59B3"/>
    <w:rsid w:val="16DE8572"/>
    <w:rsid w:val="17393F01"/>
    <w:rsid w:val="176C7E2C"/>
    <w:rsid w:val="179E7916"/>
    <w:rsid w:val="19DE58E2"/>
    <w:rsid w:val="19E51027"/>
    <w:rsid w:val="1AA17E76"/>
    <w:rsid w:val="1AE84BE7"/>
    <w:rsid w:val="1D5400CC"/>
    <w:rsid w:val="1D7942D2"/>
    <w:rsid w:val="1DCA6AD1"/>
    <w:rsid w:val="1E1F2543"/>
    <w:rsid w:val="1E8A4908"/>
    <w:rsid w:val="1E905823"/>
    <w:rsid w:val="1EAD26FD"/>
    <w:rsid w:val="1EC85837"/>
    <w:rsid w:val="1F2160C4"/>
    <w:rsid w:val="1F4F4BD2"/>
    <w:rsid w:val="1F6249DA"/>
    <w:rsid w:val="20922D77"/>
    <w:rsid w:val="20C413FA"/>
    <w:rsid w:val="22006BEB"/>
    <w:rsid w:val="220D4DD5"/>
    <w:rsid w:val="22911B36"/>
    <w:rsid w:val="23053D5B"/>
    <w:rsid w:val="24D52D2B"/>
    <w:rsid w:val="25077338"/>
    <w:rsid w:val="25287DC2"/>
    <w:rsid w:val="25FA0F65"/>
    <w:rsid w:val="26161BA2"/>
    <w:rsid w:val="27DB17FB"/>
    <w:rsid w:val="287A5E0A"/>
    <w:rsid w:val="287B3BA1"/>
    <w:rsid w:val="28940C5A"/>
    <w:rsid w:val="28EC7EDD"/>
    <w:rsid w:val="29763DF1"/>
    <w:rsid w:val="29A206EB"/>
    <w:rsid w:val="29A3473A"/>
    <w:rsid w:val="2A5C3A3B"/>
    <w:rsid w:val="2A6C3C54"/>
    <w:rsid w:val="2A7B602E"/>
    <w:rsid w:val="2BE36C60"/>
    <w:rsid w:val="2C32033A"/>
    <w:rsid w:val="2D2D2B9A"/>
    <w:rsid w:val="2EFA0ABB"/>
    <w:rsid w:val="2F6C3721"/>
    <w:rsid w:val="2F7D2448"/>
    <w:rsid w:val="300761B5"/>
    <w:rsid w:val="30FE3124"/>
    <w:rsid w:val="3134176A"/>
    <w:rsid w:val="31B934DF"/>
    <w:rsid w:val="331E21EA"/>
    <w:rsid w:val="33923056"/>
    <w:rsid w:val="33AC2A72"/>
    <w:rsid w:val="33F50B9C"/>
    <w:rsid w:val="34A53446"/>
    <w:rsid w:val="34AA2E47"/>
    <w:rsid w:val="350F73E8"/>
    <w:rsid w:val="352A2B85"/>
    <w:rsid w:val="37246325"/>
    <w:rsid w:val="37F36603"/>
    <w:rsid w:val="384B1867"/>
    <w:rsid w:val="39924114"/>
    <w:rsid w:val="3AA615F1"/>
    <w:rsid w:val="3AC45E72"/>
    <w:rsid w:val="3B0F526C"/>
    <w:rsid w:val="3B8E3258"/>
    <w:rsid w:val="3C954D06"/>
    <w:rsid w:val="3CA7071D"/>
    <w:rsid w:val="3CA803D8"/>
    <w:rsid w:val="3CC82F2C"/>
    <w:rsid w:val="3D2F3AC6"/>
    <w:rsid w:val="40402241"/>
    <w:rsid w:val="40B33254"/>
    <w:rsid w:val="41581F25"/>
    <w:rsid w:val="41C9151C"/>
    <w:rsid w:val="423C1652"/>
    <w:rsid w:val="4424314A"/>
    <w:rsid w:val="44507084"/>
    <w:rsid w:val="44C804A0"/>
    <w:rsid w:val="44D01E0B"/>
    <w:rsid w:val="45AC03F8"/>
    <w:rsid w:val="4637481C"/>
    <w:rsid w:val="465224B1"/>
    <w:rsid w:val="46ED3615"/>
    <w:rsid w:val="47444F8C"/>
    <w:rsid w:val="47535F40"/>
    <w:rsid w:val="48FE3E06"/>
    <w:rsid w:val="496A3686"/>
    <w:rsid w:val="4B057175"/>
    <w:rsid w:val="4B7414DB"/>
    <w:rsid w:val="4CDE5901"/>
    <w:rsid w:val="4DCE3E0D"/>
    <w:rsid w:val="4EC00297"/>
    <w:rsid w:val="4F4D52C3"/>
    <w:rsid w:val="50CC3BF1"/>
    <w:rsid w:val="526002F2"/>
    <w:rsid w:val="52C16754"/>
    <w:rsid w:val="5380356D"/>
    <w:rsid w:val="5473746C"/>
    <w:rsid w:val="54D321CD"/>
    <w:rsid w:val="54D35C1C"/>
    <w:rsid w:val="551763E9"/>
    <w:rsid w:val="551C3527"/>
    <w:rsid w:val="55721B0D"/>
    <w:rsid w:val="55896605"/>
    <w:rsid w:val="55C922F7"/>
    <w:rsid w:val="57ED7E5A"/>
    <w:rsid w:val="57FD7D2F"/>
    <w:rsid w:val="585777DA"/>
    <w:rsid w:val="588D679B"/>
    <w:rsid w:val="58A87D16"/>
    <w:rsid w:val="58B44FC5"/>
    <w:rsid w:val="5BA109BC"/>
    <w:rsid w:val="5EF54CCE"/>
    <w:rsid w:val="5F1B0EDC"/>
    <w:rsid w:val="5F4D5E87"/>
    <w:rsid w:val="5FFC1890"/>
    <w:rsid w:val="605E7163"/>
    <w:rsid w:val="60C0483C"/>
    <w:rsid w:val="6164600B"/>
    <w:rsid w:val="61AD3862"/>
    <w:rsid w:val="628E1C9B"/>
    <w:rsid w:val="632B4938"/>
    <w:rsid w:val="63491625"/>
    <w:rsid w:val="63F818D5"/>
    <w:rsid w:val="646F64A9"/>
    <w:rsid w:val="64752769"/>
    <w:rsid w:val="6693550B"/>
    <w:rsid w:val="66F54F23"/>
    <w:rsid w:val="670F364C"/>
    <w:rsid w:val="678F628F"/>
    <w:rsid w:val="67E647BE"/>
    <w:rsid w:val="686A05B3"/>
    <w:rsid w:val="686F0B55"/>
    <w:rsid w:val="689F5DD7"/>
    <w:rsid w:val="69871669"/>
    <w:rsid w:val="69D60E81"/>
    <w:rsid w:val="6A076735"/>
    <w:rsid w:val="6A143AC3"/>
    <w:rsid w:val="6A3223D6"/>
    <w:rsid w:val="6A6F5CB1"/>
    <w:rsid w:val="6AD21E6E"/>
    <w:rsid w:val="6AFC3B0D"/>
    <w:rsid w:val="6B3477C6"/>
    <w:rsid w:val="6B9076FC"/>
    <w:rsid w:val="6F5E2595"/>
    <w:rsid w:val="6FB90669"/>
    <w:rsid w:val="7016268B"/>
    <w:rsid w:val="70A61026"/>
    <w:rsid w:val="70C94161"/>
    <w:rsid w:val="70FA2079"/>
    <w:rsid w:val="72E621AC"/>
    <w:rsid w:val="72F145D4"/>
    <w:rsid w:val="737D387F"/>
    <w:rsid w:val="73E62295"/>
    <w:rsid w:val="74845C34"/>
    <w:rsid w:val="74C5589B"/>
    <w:rsid w:val="751A5610"/>
    <w:rsid w:val="756D5397"/>
    <w:rsid w:val="75901E34"/>
    <w:rsid w:val="76F15606"/>
    <w:rsid w:val="77495B6E"/>
    <w:rsid w:val="77710C55"/>
    <w:rsid w:val="786B44CE"/>
    <w:rsid w:val="78E61F1F"/>
    <w:rsid w:val="78EE3DE8"/>
    <w:rsid w:val="7BA27DC6"/>
    <w:rsid w:val="7C1E01D6"/>
    <w:rsid w:val="7C4D42B1"/>
    <w:rsid w:val="7D551323"/>
    <w:rsid w:val="7E0B727F"/>
    <w:rsid w:val="7E0D783A"/>
    <w:rsid w:val="7E9E3805"/>
    <w:rsid w:val="7EC820F5"/>
    <w:rsid w:val="7EDD2876"/>
    <w:rsid w:val="7F8871BD"/>
    <w:rsid w:val="7FB64666"/>
    <w:rsid w:val="AFFBE36E"/>
    <w:rsid w:val="DEBD1BAC"/>
    <w:rsid w:val="DF4FC1B4"/>
    <w:rsid w:val="FBB79EF3"/>
    <w:rsid w:val="FE5FEC4A"/>
    <w:rsid w:val="FFFB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qFormat="1" w:uiPriority="99" w:semiHidden="0" w:name="HTML Acronym"/>
    <w:lsdException w:uiPriority="99" w:name="HTML Address"/>
    <w:lsdException w:qFormat="1" w:uiPriority="99" w:semiHidden="0" w:name="HTML Cite"/>
    <w:lsdException w:qFormat="1" w:uiPriority="99" w:semiHidden="0" w:name="HTML Code"/>
    <w:lsdException w:qFormat="1" w:uiPriority="99" w:semiHidden="0" w:name="HTML Definition"/>
    <w:lsdException w:qFormat="1" w:uiPriority="99" w:semiHidden="0" w:name="HTML Keyboard"/>
    <w:lsdException w:uiPriority="99" w:name="HTML Preformatted"/>
    <w:lsdException w:qFormat="1" w:uiPriority="99" w:semiHidden="0" w:name="HTML Sample"/>
    <w:lsdException w:qFormat="1" w:uiPriority="99" w:semiHidden="0" w:name="HTML Typewriter"/>
    <w:lsdException w:qFormat="1" w:uiPriority="99" w:semiHidden="0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 w:line="360" w:lineRule="auto"/>
      <w:outlineLvl w:val="0"/>
    </w:pPr>
    <w:rPr>
      <w:rFonts w:ascii="Times New Roman" w:hAnsi="Times New Roman" w:eastAsia="宋体" w:cs="Times New Roman"/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39"/>
    <w:qFormat/>
    <w:uiPriority w:val="0"/>
    <w:pPr>
      <w:tabs>
        <w:tab w:val="left" w:pos="567"/>
      </w:tabs>
      <w:outlineLvl w:val="1"/>
    </w:pPr>
    <w:rPr>
      <w:sz w:val="30"/>
    </w:rPr>
  </w:style>
  <w:style w:type="paragraph" w:styleId="4">
    <w:name w:val="heading 3"/>
    <w:basedOn w:val="1"/>
    <w:next w:val="1"/>
    <w:link w:val="40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outlineLvl w:val="2"/>
    </w:pPr>
    <w:rPr>
      <w:rFonts w:ascii="Times New Roman" w:hAnsi="Times New Roman" w:eastAsia="宋体" w:cs="Times New Roman"/>
      <w:b/>
      <w:bCs/>
      <w:sz w:val="28"/>
      <w:szCs w:val="18"/>
    </w:rPr>
  </w:style>
  <w:style w:type="paragraph" w:styleId="5">
    <w:name w:val="heading 4"/>
    <w:basedOn w:val="1"/>
    <w:next w:val="1"/>
    <w:link w:val="41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 w:line="360" w:lineRule="auto"/>
      <w:jc w:val="left"/>
      <w:outlineLvl w:val="3"/>
    </w:pPr>
    <w:rPr>
      <w:rFonts w:ascii="Times New Roman" w:hAnsi="Arial" w:eastAsia="宋体" w:cs="Times New Roman"/>
      <w:b/>
      <w:bCs/>
      <w:sz w:val="24"/>
      <w:szCs w:val="28"/>
    </w:rPr>
  </w:style>
  <w:style w:type="paragraph" w:styleId="6">
    <w:name w:val="heading 5"/>
    <w:basedOn w:val="1"/>
    <w:next w:val="1"/>
    <w:link w:val="42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/>
      <w:jc w:val="left"/>
      <w:outlineLvl w:val="4"/>
    </w:pPr>
    <w:rPr>
      <w:rFonts w:ascii="Times New Roman" w:hAnsi="Times New Roman" w:eastAsia="宋体" w:cs="Times New Roman"/>
      <w:b/>
      <w:bCs/>
      <w:sz w:val="28"/>
      <w:szCs w:val="28"/>
    </w:rPr>
  </w:style>
  <w:style w:type="paragraph" w:styleId="7">
    <w:name w:val="heading 6"/>
    <w:basedOn w:val="6"/>
    <w:next w:val="1"/>
    <w:link w:val="43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44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45"/>
    <w:qFormat/>
    <w:uiPriority w:val="0"/>
    <w:pPr>
      <w:numPr>
        <w:ilvl w:val="7"/>
      </w:numPr>
      <w:outlineLvl w:val="7"/>
    </w:pPr>
  </w:style>
  <w:style w:type="paragraph" w:styleId="10">
    <w:name w:val="heading 9"/>
    <w:basedOn w:val="9"/>
    <w:next w:val="1"/>
    <w:link w:val="46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semiHidden/>
    <w:unhideWhenUsed/>
    <w:qFormat/>
    <w:uiPriority w:val="99"/>
    <w:pPr>
      <w:jc w:val="left"/>
    </w:pPr>
  </w:style>
  <w:style w:type="paragraph" w:styleId="12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13">
    <w:name w:val="Balloon Text"/>
    <w:basedOn w:val="1"/>
    <w:link w:val="37"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</w:style>
  <w:style w:type="paragraph" w:styleId="1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8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21">
    <w:name w:val="Strong"/>
    <w:basedOn w:val="20"/>
    <w:qFormat/>
    <w:uiPriority w:val="22"/>
    <w:rPr>
      <w:b/>
    </w:rPr>
  </w:style>
  <w:style w:type="character" w:styleId="22">
    <w:name w:val="FollowedHyperlink"/>
    <w:basedOn w:val="20"/>
    <w:unhideWhenUsed/>
    <w:qFormat/>
    <w:uiPriority w:val="99"/>
    <w:rPr>
      <w:color w:val="800080"/>
      <w:u w:val="none"/>
    </w:rPr>
  </w:style>
  <w:style w:type="character" w:styleId="23">
    <w:name w:val="Emphasis"/>
    <w:basedOn w:val="20"/>
    <w:qFormat/>
    <w:uiPriority w:val="20"/>
    <w:rPr>
      <w:rFonts w:ascii="ActionIcon ! important" w:hAnsi="ActionIcon ! important" w:eastAsia="ActionIcon ! important" w:cs="ActionIcon ! important"/>
      <w:b/>
      <w:vanish/>
      <w:color w:val="3D4B62"/>
      <w:sz w:val="24"/>
      <w:szCs w:val="24"/>
    </w:rPr>
  </w:style>
  <w:style w:type="character" w:styleId="24">
    <w:name w:val="HTML Definition"/>
    <w:basedOn w:val="20"/>
    <w:unhideWhenUsed/>
    <w:qFormat/>
    <w:uiPriority w:val="99"/>
  </w:style>
  <w:style w:type="character" w:styleId="25">
    <w:name w:val="HTML Typewriter"/>
    <w:basedOn w:val="20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6">
    <w:name w:val="HTML Acronym"/>
    <w:basedOn w:val="20"/>
    <w:unhideWhenUsed/>
    <w:qFormat/>
    <w:uiPriority w:val="99"/>
  </w:style>
  <w:style w:type="character" w:styleId="27">
    <w:name w:val="HTML Variable"/>
    <w:basedOn w:val="20"/>
    <w:unhideWhenUsed/>
    <w:qFormat/>
    <w:uiPriority w:val="99"/>
  </w:style>
  <w:style w:type="character" w:styleId="28">
    <w:name w:val="Hyperlink"/>
    <w:qFormat/>
    <w:uiPriority w:val="99"/>
    <w:rPr>
      <w:color w:val="0000FF"/>
      <w:u w:val="single"/>
    </w:rPr>
  </w:style>
  <w:style w:type="character" w:styleId="29">
    <w:name w:val="HTML Code"/>
    <w:basedOn w:val="20"/>
    <w:unhideWhenUsed/>
    <w:qFormat/>
    <w:uiPriority w:val="99"/>
    <w:rPr>
      <w:rFonts w:ascii="monospace" w:hAnsi="monospace" w:eastAsia="monospace" w:cs="monospace"/>
      <w:sz w:val="20"/>
    </w:rPr>
  </w:style>
  <w:style w:type="character" w:styleId="30">
    <w:name w:val="annotation reference"/>
    <w:basedOn w:val="20"/>
    <w:semiHidden/>
    <w:unhideWhenUsed/>
    <w:qFormat/>
    <w:uiPriority w:val="99"/>
    <w:rPr>
      <w:sz w:val="21"/>
      <w:szCs w:val="21"/>
    </w:rPr>
  </w:style>
  <w:style w:type="character" w:styleId="31">
    <w:name w:val="HTML Cite"/>
    <w:basedOn w:val="20"/>
    <w:unhideWhenUsed/>
    <w:qFormat/>
    <w:uiPriority w:val="99"/>
  </w:style>
  <w:style w:type="character" w:styleId="32">
    <w:name w:val="HTML Keyboard"/>
    <w:basedOn w:val="20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33">
    <w:name w:val="HTML Sample"/>
    <w:basedOn w:val="20"/>
    <w:unhideWhenUsed/>
    <w:qFormat/>
    <w:uiPriority w:val="99"/>
    <w:rPr>
      <w:rFonts w:hint="default" w:ascii="monospace" w:hAnsi="monospace" w:eastAsia="monospace" w:cs="monospace"/>
    </w:rPr>
  </w:style>
  <w:style w:type="paragraph" w:customStyle="1" w:styleId="34">
    <w:name w:val="Indent Normal"/>
    <w:basedOn w:val="1"/>
    <w:qFormat/>
    <w:uiPriority w:val="0"/>
    <w:pPr>
      <w:spacing w:line="360" w:lineRule="auto"/>
      <w:ind w:firstLine="150" w:firstLineChars="150"/>
      <w:jc w:val="left"/>
    </w:pPr>
    <w:rPr>
      <w:rFonts w:ascii="Times New Roman" w:hAnsi="Times New Roman" w:eastAsia="宋体" w:cs="Times New Roman"/>
      <w:sz w:val="24"/>
      <w:szCs w:val="24"/>
    </w:rPr>
  </w:style>
  <w:style w:type="character" w:customStyle="1" w:styleId="35">
    <w:name w:val="页眉 Char"/>
    <w:basedOn w:val="20"/>
    <w:link w:val="15"/>
    <w:qFormat/>
    <w:uiPriority w:val="99"/>
    <w:rPr>
      <w:sz w:val="18"/>
      <w:szCs w:val="18"/>
    </w:rPr>
  </w:style>
  <w:style w:type="character" w:customStyle="1" w:styleId="36">
    <w:name w:val="页脚 Char"/>
    <w:basedOn w:val="20"/>
    <w:link w:val="14"/>
    <w:qFormat/>
    <w:uiPriority w:val="99"/>
    <w:rPr>
      <w:sz w:val="18"/>
      <w:szCs w:val="18"/>
    </w:rPr>
  </w:style>
  <w:style w:type="character" w:customStyle="1" w:styleId="37">
    <w:name w:val="批注框文本 Char"/>
    <w:basedOn w:val="20"/>
    <w:link w:val="13"/>
    <w:semiHidden/>
    <w:qFormat/>
    <w:uiPriority w:val="99"/>
    <w:rPr>
      <w:sz w:val="18"/>
      <w:szCs w:val="18"/>
    </w:rPr>
  </w:style>
  <w:style w:type="character" w:customStyle="1" w:styleId="38">
    <w:name w:val="标题 1 Char"/>
    <w:basedOn w:val="20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39">
    <w:name w:val="标题 2 Char"/>
    <w:basedOn w:val="20"/>
    <w:link w:val="3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40">
    <w:name w:val="标题 3 Char"/>
    <w:basedOn w:val="20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41">
    <w:name w:val="标题 4 Char"/>
    <w:basedOn w:val="20"/>
    <w:link w:val="5"/>
    <w:qFormat/>
    <w:uiPriority w:val="0"/>
    <w:rPr>
      <w:rFonts w:ascii="Times New Roman" w:hAnsi="Arial" w:eastAsia="宋体" w:cs="Times New Roman"/>
      <w:b/>
      <w:bCs/>
      <w:sz w:val="24"/>
      <w:szCs w:val="28"/>
    </w:rPr>
  </w:style>
  <w:style w:type="character" w:customStyle="1" w:styleId="42">
    <w:name w:val="标题 5 Char"/>
    <w:basedOn w:val="20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43">
    <w:name w:val="标题 6 Char"/>
    <w:basedOn w:val="20"/>
    <w:link w:val="7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44">
    <w:name w:val="标题 7 Char"/>
    <w:basedOn w:val="20"/>
    <w:link w:val="8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45">
    <w:name w:val="标题 8 Char"/>
    <w:basedOn w:val="20"/>
    <w:link w:val="9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46">
    <w:name w:val="标题 9 Char"/>
    <w:basedOn w:val="20"/>
    <w:link w:val="10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paragraph" w:customStyle="1" w:styleId="47">
    <w:name w:val="1"/>
    <w:basedOn w:val="1"/>
    <w:link w:val="48"/>
    <w:qFormat/>
    <w:uiPriority w:val="0"/>
    <w:pPr>
      <w:spacing w:line="360" w:lineRule="auto"/>
      <w:jc w:val="left"/>
    </w:pPr>
    <w:rPr>
      <w:rFonts w:ascii="Times New Roman" w:hAnsi="Times New Roman" w:eastAsia="宋体" w:cs="Times New Roman"/>
      <w:szCs w:val="24"/>
    </w:rPr>
  </w:style>
  <w:style w:type="character" w:customStyle="1" w:styleId="48">
    <w:name w:val="1 Char"/>
    <w:link w:val="47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4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50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523</Words>
  <Characters>2982</Characters>
  <Lines>24</Lines>
  <Paragraphs>6</Paragraphs>
  <TotalTime>2</TotalTime>
  <ScaleCrop>false</ScaleCrop>
  <LinksUpToDate>false</LinksUpToDate>
  <CharactersWithSpaces>3499</CharactersWithSpaces>
  <Application>WPS Office_11.8.2.9864_F1E327BC-269C-435d-A152-05C5408002CA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2023-02-09T15:23:00Z</dcterms:created>
  <dc:creator>陈琼</dc:creator>
  <cp:lastModifiedBy>jyzx</cp:lastModifiedBy>
  <dcterms:modified xsi:type="dcterms:W3CDTF">2023-08-04T15:33:08Z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2052-11.8.2.9864</vt:lpwstr>
  </property>
  <property fmtid="{D5CDD505-2E9C-101B-9397-08002B2CF9AE}" pid="3" name="ICV">
    <vt:lpwstr>F67CE9FA76E74B9BA832071F5CFB6122_13</vt:lpwstr>
  </property>
</Properties>
</file>