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271135" cy="1755140"/>
            <wp:effectExtent l="0" t="0" r="5715" b="16510"/>
            <wp:docPr id="3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true"/>
                    </pic:cNvPicPr>
                  </pic:nvPicPr>
                  <pic:blipFill>
                    <a:blip r:embed="rId5"/>
                    <a:stretch>
                      <a:fillRect/>
                    </a:stretch>
                  </pic:blipFill>
                  <pic:spPr>
                    <a:xfrm>
                      <a:off x="0" y="0"/>
                      <a:ext cx="5271135" cy="1755140"/>
                    </a:xfrm>
                    <a:prstGeom prst="rect">
                      <a:avLst/>
                    </a:prstGeom>
                    <a:noFill/>
                    <a:ln>
                      <a:noFill/>
                    </a:ln>
                  </pic:spPr>
                </pic:pic>
              </a:graphicData>
            </a:graphic>
          </wp:inline>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b/>
          <w:color w:val="000000" w:themeColor="text1"/>
          <w:sz w:val="32"/>
          <w:szCs w:val="32"/>
          <w14:textFill>
            <w14:solidFill>
              <w14:schemeClr w14:val="tx1"/>
            </w14:solidFill>
          </w14:textFill>
        </w:rPr>
      </w:pPr>
    </w:p>
    <w:p>
      <w:pPr>
        <w:jc w:val="center"/>
        <w:rPr>
          <w:rFonts w:ascii="宋体" w:hAnsi="宋体" w:eastAsia="宋体" w:cs="宋体"/>
          <w:b/>
          <w:bCs/>
          <w:color w:val="000000" w:themeColor="text1"/>
          <w:sz w:val="32"/>
          <w:szCs w:val="32"/>
          <w14:textFill>
            <w14:solidFill>
              <w14:schemeClr w14:val="tx1"/>
            </w14:solidFill>
          </w14:textFill>
        </w:rPr>
      </w:pPr>
      <w:bookmarkStart w:id="0" w:name="_Toc5218"/>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val="0"/>
          <w:bCs/>
          <w:sz w:val="48"/>
          <w:szCs w:val="48"/>
          <w:lang w:eastAsia="zh-CN"/>
        </w:rPr>
      </w:pPr>
      <w:bookmarkStart w:id="1" w:name="_Toc1448596120"/>
      <w:r>
        <w:rPr>
          <w:rFonts w:hint="eastAsia" w:ascii="方正小标宋简体" w:hAnsi="方正小标宋简体" w:eastAsia="方正小标宋简体" w:cs="方正小标宋简体"/>
          <w:b w:val="0"/>
          <w:bCs/>
          <w:sz w:val="48"/>
          <w:szCs w:val="48"/>
          <w:lang w:eastAsia="zh-CN"/>
        </w:rPr>
        <w:t>政府采购项目“一件事一次办”</w:t>
      </w:r>
      <w:bookmarkEnd w:id="0"/>
      <w:bookmarkEnd w:id="1"/>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val="0"/>
          <w:bCs/>
          <w:sz w:val="48"/>
          <w:szCs w:val="48"/>
        </w:rPr>
      </w:pPr>
      <w:bookmarkStart w:id="2" w:name="_Toc965647500"/>
      <w:r>
        <w:rPr>
          <w:rFonts w:hint="eastAsia" w:ascii="方正小标宋简体" w:hAnsi="方正小标宋简体" w:eastAsia="方正小标宋简体" w:cs="方正小标宋简体"/>
          <w:b w:val="0"/>
          <w:bCs/>
          <w:sz w:val="48"/>
          <w:szCs w:val="48"/>
          <w:lang w:eastAsia="zh-CN"/>
        </w:rPr>
        <w:t>系统操作</w:t>
      </w:r>
      <w:r>
        <w:rPr>
          <w:rFonts w:hint="eastAsia" w:ascii="方正小标宋简体" w:hAnsi="方正小标宋简体" w:eastAsia="方正小标宋简体" w:cs="方正小标宋简体"/>
          <w:b w:val="0"/>
          <w:bCs/>
          <w:sz w:val="48"/>
          <w:szCs w:val="48"/>
        </w:rPr>
        <w:t>指南（</w:t>
      </w:r>
      <w:r>
        <w:rPr>
          <w:rFonts w:hint="eastAsia" w:ascii="方正小标宋简体" w:hAnsi="方正小标宋简体" w:eastAsia="方正小标宋简体" w:cs="方正小标宋简体"/>
          <w:b w:val="0"/>
          <w:bCs/>
          <w:sz w:val="48"/>
          <w:szCs w:val="48"/>
          <w:lang w:eastAsia="zh-CN"/>
        </w:rPr>
        <w:t>采购</w:t>
      </w:r>
      <w:r>
        <w:rPr>
          <w:rFonts w:hint="eastAsia" w:ascii="方正小标宋简体" w:hAnsi="方正小标宋简体" w:eastAsia="方正小标宋简体" w:cs="方正小标宋简体"/>
          <w:b w:val="0"/>
          <w:bCs/>
          <w:sz w:val="48"/>
          <w:szCs w:val="48"/>
        </w:rPr>
        <w:t>代理</w:t>
      </w:r>
      <w:r>
        <w:rPr>
          <w:rFonts w:hint="eastAsia" w:ascii="方正小标宋简体" w:hAnsi="方正小标宋简体" w:eastAsia="方正小标宋简体" w:cs="方正小标宋简体"/>
          <w:b w:val="0"/>
          <w:bCs/>
          <w:sz w:val="48"/>
          <w:szCs w:val="48"/>
          <w:lang w:eastAsia="zh-CN"/>
        </w:rPr>
        <w:t>机构</w:t>
      </w:r>
      <w:r>
        <w:rPr>
          <w:rFonts w:hint="eastAsia" w:ascii="方正小标宋简体" w:hAnsi="方正小标宋简体" w:eastAsia="方正小标宋简体" w:cs="方正小标宋简体"/>
          <w:b w:val="0"/>
          <w:bCs/>
          <w:sz w:val="48"/>
          <w:szCs w:val="48"/>
        </w:rPr>
        <w:t>）</w:t>
      </w:r>
      <w:bookmarkEnd w:id="2"/>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rFonts w:asciiTheme="majorEastAsia" w:hAnsiTheme="majorEastAsia" w:eastAsiaTheme="majorEastAsia"/>
          <w:color w:val="000000" w:themeColor="text1"/>
          <w:sz w:val="32"/>
          <w:szCs w:val="32"/>
          <w14:textFill>
            <w14:solidFill>
              <w14:schemeClr w14:val="tx1"/>
            </w14:solidFill>
          </w14:textFill>
        </w:rPr>
      </w:pP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2023年0</w:t>
      </w:r>
      <w:r>
        <w:rPr>
          <w:rFonts w:hint="eastAsia" w:asciiTheme="majorEastAsia" w:hAnsiTheme="majorEastAsia" w:eastAsiaTheme="majorEastAsia"/>
          <w:b/>
          <w:sz w:val="32"/>
          <w:szCs w:val="32"/>
          <w:lang w:val="en-US" w:eastAsia="zh-CN"/>
        </w:rPr>
        <w:t>8</w:t>
      </w:r>
      <w:r>
        <w:rPr>
          <w:rFonts w:hint="eastAsia" w:asciiTheme="majorEastAsia" w:hAnsiTheme="majorEastAsia" w:eastAsiaTheme="majorEastAsia"/>
          <w:b/>
          <w:sz w:val="32"/>
          <w:szCs w:val="32"/>
        </w:rPr>
        <w:t>月</w:t>
      </w: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ascii="宋体" w:hAnsi="宋体" w:eastAsia="宋体"/>
          <w:b/>
          <w:bCs/>
          <w:color w:val="000000" w:themeColor="text1"/>
          <w:sz w:val="32"/>
          <w:szCs w:val="32"/>
          <w14:textFill>
            <w14:solidFill>
              <w14:schemeClr w14:val="tx1"/>
            </w14:solidFill>
          </w14:textFill>
        </w:rPr>
        <w:id w:val="147465115"/>
        <w:docPartObj>
          <w:docPartGallery w:val="Table of Contents"/>
          <w:docPartUnique/>
        </w:docPartObj>
      </w:sdtPr>
      <w:sdtEndPr>
        <w:rPr>
          <w:rFonts w:asciiTheme="minorHAnsi" w:hAnsiTheme="minorHAnsi" w:eastAsiaTheme="minorEastAsia"/>
          <w:b/>
          <w:bCs/>
          <w:color w:val="000000" w:themeColor="text1"/>
          <w:sz w:val="32"/>
          <w:szCs w:val="44"/>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6"/>
            <w:tabs>
              <w:tab w:val="right" w:leader="dot" w:pos="8306"/>
            </w:tabs>
          </w:pPr>
          <w:r>
            <w:rPr>
              <w:rFonts w:hint="eastAsia" w:asciiTheme="minorEastAsia" w:hAnsi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cstheme="minorEastAsia"/>
              <w:color w:val="000000" w:themeColor="text1"/>
              <w:sz w:val="28"/>
              <w:szCs w:val="28"/>
              <w14:textFill>
                <w14:solidFill>
                  <w14:schemeClr w14:val="tx1"/>
                </w14:solidFill>
              </w14:textFill>
            </w:rPr>
            <w:instrText xml:space="preserve">TOC \o "1-3" \h \u </w:instrText>
          </w:r>
          <w:r>
            <w:rPr>
              <w:rFonts w:hint="eastAsia" w:asciiTheme="minorEastAsia" w:hAnsiTheme="minorEastAsia" w:cstheme="minorEastAsia"/>
              <w:color w:val="000000" w:themeColor="text1"/>
              <w:sz w:val="28"/>
              <w:szCs w:val="28"/>
              <w14:textFill>
                <w14:solidFill>
                  <w14:schemeClr w14:val="tx1"/>
                </w14:solidFill>
              </w14:textFill>
            </w:rPr>
            <w:fldChar w:fldCharType="separate"/>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_Toc1785767907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rPr>
            <w:t xml:space="preserve">一、 </w:t>
          </w:r>
          <w:r>
            <w:rPr>
              <w:rFonts w:hint="eastAsia" w:ascii="Times New Roman" w:hAnsi="Times New Roman" w:eastAsia="宋体" w:cs="Times New Roman"/>
              <w:bCs/>
              <w:kern w:val="44"/>
              <w:szCs w:val="28"/>
            </w:rPr>
            <w:t>系统</w:t>
          </w:r>
          <w:r>
            <w:rPr>
              <w:rFonts w:hint="eastAsia" w:ascii="Times New Roman" w:hAnsi="Times New Roman" w:eastAsia="宋体" w:cs="Times New Roman"/>
              <w:bCs/>
              <w:kern w:val="44"/>
              <w:szCs w:val="28"/>
              <w:lang w:eastAsia="zh-CN"/>
            </w:rPr>
            <w:t>入口及</w:t>
          </w:r>
          <w:r>
            <w:rPr>
              <w:rFonts w:hint="eastAsia" w:ascii="Times New Roman" w:hAnsi="Times New Roman" w:eastAsia="宋体" w:cs="Times New Roman"/>
              <w:bCs/>
              <w:kern w:val="44"/>
              <w:szCs w:val="28"/>
            </w:rPr>
            <w:t>登录</w:t>
          </w:r>
          <w:r>
            <w:tab/>
          </w:r>
          <w:r>
            <w:fldChar w:fldCharType="begin"/>
          </w:r>
          <w:r>
            <w:instrText xml:space="preserve"> PAGEREF _Toc1785767907 </w:instrText>
          </w:r>
          <w:r>
            <w:fldChar w:fldCharType="separate"/>
          </w:r>
          <w:r>
            <w:t>1</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_Toc1351178730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二、 </w:t>
          </w:r>
          <w:r>
            <w:rPr>
              <w:rFonts w:hint="eastAsia" w:ascii="Times New Roman" w:hAnsi="Times New Roman" w:eastAsia="宋体" w:cs="Times New Roman"/>
              <w:bCs/>
              <w:kern w:val="44"/>
              <w:szCs w:val="28"/>
              <w:lang w:eastAsia="zh-CN"/>
            </w:rPr>
            <w:t>项目进场信息填报</w:t>
          </w:r>
          <w:r>
            <w:tab/>
          </w:r>
          <w:r>
            <w:fldChar w:fldCharType="begin"/>
          </w:r>
          <w:r>
            <w:instrText xml:space="preserve"> PAGEREF _Toc1351178730 </w:instrText>
          </w:r>
          <w:r>
            <w:fldChar w:fldCharType="separate"/>
          </w:r>
          <w:r>
            <w:t>2</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_Toc536247122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三、 </w:t>
          </w:r>
          <w:r>
            <w:rPr>
              <w:rFonts w:hint="eastAsia" w:ascii="Times New Roman" w:hAnsi="Times New Roman" w:eastAsia="宋体" w:cs="Times New Roman"/>
              <w:bCs/>
              <w:kern w:val="44"/>
              <w:szCs w:val="28"/>
              <w:lang w:eastAsia="zh-CN"/>
            </w:rPr>
            <w:t>网上开标</w:t>
          </w:r>
          <w:r>
            <w:tab/>
          </w:r>
          <w:r>
            <w:fldChar w:fldCharType="begin"/>
          </w:r>
          <w:r>
            <w:instrText xml:space="preserve"> PAGEREF _Toc536247122 </w:instrText>
          </w:r>
          <w:r>
            <w:fldChar w:fldCharType="separate"/>
          </w:r>
          <w:r>
            <w:t>3</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_Toc1819907704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四、 </w:t>
          </w:r>
          <w:r>
            <w:rPr>
              <w:rFonts w:hint="eastAsia" w:ascii="Times New Roman" w:hAnsi="Times New Roman" w:eastAsia="宋体" w:cs="Times New Roman"/>
              <w:bCs/>
              <w:kern w:val="44"/>
              <w:szCs w:val="28"/>
              <w:lang w:eastAsia="zh-CN"/>
            </w:rPr>
            <w:t>开标过程</w:t>
          </w:r>
          <w:r>
            <w:tab/>
          </w:r>
          <w:r>
            <w:fldChar w:fldCharType="begin"/>
          </w:r>
          <w:r>
            <w:instrText xml:space="preserve"> PAGEREF _Toc1819907704 </w:instrText>
          </w:r>
          <w:r>
            <w:fldChar w:fldCharType="separate"/>
          </w:r>
          <w:r>
            <w:t>4</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_Toc1257175335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五、 </w:t>
          </w:r>
          <w:r>
            <w:rPr>
              <w:rFonts w:hint="eastAsia" w:ascii="Times New Roman" w:hAnsi="Times New Roman" w:eastAsia="宋体" w:cs="Times New Roman"/>
              <w:bCs/>
              <w:kern w:val="44"/>
              <w:szCs w:val="28"/>
              <w:lang w:eastAsia="zh-CN"/>
            </w:rPr>
            <w:t>开标结束操作</w:t>
          </w:r>
          <w:r>
            <w:tab/>
          </w:r>
          <w:r>
            <w:fldChar w:fldCharType="begin"/>
          </w:r>
          <w:r>
            <w:instrText xml:space="preserve"> PAGEREF _Toc1257175335 </w:instrText>
          </w:r>
          <w:r>
            <w:fldChar w:fldCharType="separate"/>
          </w:r>
          <w:r>
            <w:t>5</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_Toc334863039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六、 </w:t>
          </w:r>
          <w:r>
            <w:rPr>
              <w:rFonts w:hint="eastAsia" w:ascii="Times New Roman" w:hAnsi="Times New Roman" w:eastAsia="宋体" w:cs="Times New Roman"/>
              <w:bCs/>
              <w:kern w:val="44"/>
              <w:szCs w:val="28"/>
              <w:lang w:eastAsia="zh-CN"/>
            </w:rPr>
            <w:t>监督入区申请</w:t>
          </w:r>
          <w:r>
            <w:tab/>
          </w:r>
          <w:r>
            <w:fldChar w:fldCharType="begin"/>
          </w:r>
          <w:r>
            <w:instrText xml:space="preserve"> PAGEREF _Toc334863039 </w:instrText>
          </w:r>
          <w:r>
            <w:fldChar w:fldCharType="separate"/>
          </w:r>
          <w:r>
            <w:t>6</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_Toc609443016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七、 </w:t>
          </w:r>
          <w:r>
            <w:rPr>
              <w:rFonts w:hint="eastAsia" w:ascii="Times New Roman" w:hAnsi="Times New Roman" w:eastAsia="宋体" w:cs="Times New Roman"/>
              <w:bCs/>
              <w:kern w:val="44"/>
              <w:szCs w:val="28"/>
              <w:lang w:eastAsia="zh-CN"/>
            </w:rPr>
            <w:t>评审专家入区</w:t>
          </w:r>
          <w:r>
            <w:tab/>
          </w:r>
          <w:r>
            <w:fldChar w:fldCharType="begin"/>
          </w:r>
          <w:r>
            <w:instrText xml:space="preserve"> PAGEREF _Toc609443016 </w:instrText>
          </w:r>
          <w:r>
            <w:fldChar w:fldCharType="separate"/>
          </w:r>
          <w:r>
            <w:t>7</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_Toc1578004897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八、 </w:t>
          </w:r>
          <w:r>
            <w:rPr>
              <w:rFonts w:hint="eastAsia" w:ascii="Times New Roman" w:hAnsi="Times New Roman" w:eastAsia="宋体" w:cs="Times New Roman"/>
              <w:bCs/>
              <w:kern w:val="44"/>
              <w:szCs w:val="28"/>
              <w:lang w:eastAsia="zh-CN"/>
            </w:rPr>
            <w:t>项目复核</w:t>
          </w:r>
          <w:r>
            <w:tab/>
          </w:r>
          <w:r>
            <w:fldChar w:fldCharType="begin"/>
          </w:r>
          <w:r>
            <w:instrText xml:space="preserve"> PAGEREF _Toc1578004897 </w:instrText>
          </w:r>
          <w:r>
            <w:fldChar w:fldCharType="separate"/>
          </w:r>
          <w:r>
            <w:t>8</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_Toc724794204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九、 </w:t>
          </w:r>
          <w:r>
            <w:rPr>
              <w:rFonts w:hint="eastAsia" w:ascii="Times New Roman" w:hAnsi="Times New Roman" w:eastAsia="宋体" w:cs="Times New Roman"/>
              <w:bCs/>
              <w:kern w:val="44"/>
              <w:szCs w:val="28"/>
              <w:lang w:eastAsia="zh-CN"/>
            </w:rPr>
            <w:t>查询、保存项目档案</w:t>
          </w:r>
          <w:r>
            <w:tab/>
          </w:r>
          <w:r>
            <w:fldChar w:fldCharType="begin"/>
          </w:r>
          <w:r>
            <w:instrText xml:space="preserve"> PAGEREF _Toc724794204 </w:instrText>
          </w:r>
          <w:r>
            <w:fldChar w:fldCharType="separate"/>
          </w:r>
          <w:r>
            <w:t>9</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_Toc944008865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十、 </w:t>
          </w:r>
          <w:r>
            <w:rPr>
              <w:rFonts w:hint="eastAsia" w:ascii="Times New Roman" w:hAnsi="Times New Roman" w:eastAsia="宋体" w:cs="Times New Roman"/>
              <w:bCs/>
              <w:kern w:val="44"/>
              <w:szCs w:val="28"/>
              <w:lang w:eastAsia="zh-CN"/>
            </w:rPr>
            <w:t>其他</w:t>
          </w:r>
          <w:r>
            <w:tab/>
          </w:r>
          <w:r>
            <w:fldChar w:fldCharType="begin"/>
          </w:r>
          <w:r>
            <w:instrText xml:space="preserve"> PAGEREF _Toc944008865 </w:instrText>
          </w:r>
          <w:r>
            <w:fldChar w:fldCharType="separate"/>
          </w:r>
          <w:r>
            <w:t>10</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rPr>
              <w:color w:val="000000" w:themeColor="text1"/>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fldChar w:fldCharType="end"/>
          </w:r>
        </w:p>
      </w:sdtContent>
    </w:sdt>
    <w:p>
      <w:pPr>
        <w:pStyle w:val="2"/>
        <w:numPr>
          <w:ilvl w:val="0"/>
          <w:numId w:val="0"/>
        </w:numPr>
        <w:spacing w:before="0" w:after="0" w:line="240" w:lineRule="auto"/>
        <w:jc w:val="left"/>
        <w:rPr>
          <w:rFonts w:ascii="仿宋" w:hAnsi="仿宋" w:eastAsia="仿宋"/>
          <w:color w:val="000000" w:themeColor="text1"/>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numPr>
          <w:ilvl w:val="0"/>
          <w:numId w:val="1"/>
        </w:numPr>
        <w:tabs>
          <w:tab w:val="left" w:pos="425"/>
        </w:tabs>
        <w:outlineLvl w:val="0"/>
        <w:rPr>
          <w:rFonts w:ascii="Times New Roman" w:hAnsi="Times New Roman" w:eastAsia="宋体" w:cs="Times New Roman"/>
          <w:b/>
          <w:bCs/>
          <w:color w:val="000000" w:themeColor="text1"/>
          <w:kern w:val="44"/>
          <w:sz w:val="32"/>
          <w:szCs w:val="28"/>
          <w14:textFill>
            <w14:solidFill>
              <w14:schemeClr w14:val="tx1"/>
            </w14:solidFill>
          </w14:textFill>
        </w:rPr>
      </w:pPr>
      <w:bookmarkStart w:id="3" w:name="_Toc13461"/>
      <w:bookmarkStart w:id="4" w:name="_Toc1983334771"/>
      <w:bookmarkStart w:id="5" w:name="_Toc1785767907"/>
      <w:bookmarkStart w:id="6" w:name="_Toc405561964"/>
      <w:bookmarkStart w:id="7" w:name="_Toc493610177"/>
      <w:r>
        <w:rPr>
          <w:rFonts w:hint="eastAsia" w:ascii="Times New Roman" w:hAnsi="Times New Roman" w:eastAsia="宋体" w:cs="Times New Roman"/>
          <w:b/>
          <w:bCs/>
          <w:color w:val="000000" w:themeColor="text1"/>
          <w:kern w:val="44"/>
          <w:sz w:val="32"/>
          <w:szCs w:val="28"/>
          <w14:textFill>
            <w14:solidFill>
              <w14:schemeClr w14:val="tx1"/>
            </w14:solidFill>
          </w14:textFill>
        </w:rPr>
        <w:t>系统</w:t>
      </w:r>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入口及</w:t>
      </w:r>
      <w:r>
        <w:rPr>
          <w:rFonts w:hint="eastAsia" w:ascii="Times New Roman" w:hAnsi="Times New Roman" w:eastAsia="宋体" w:cs="Times New Roman"/>
          <w:b/>
          <w:bCs/>
          <w:color w:val="000000" w:themeColor="text1"/>
          <w:kern w:val="44"/>
          <w:sz w:val="32"/>
          <w:szCs w:val="28"/>
          <w14:textFill>
            <w14:solidFill>
              <w14:schemeClr w14:val="tx1"/>
            </w14:solidFill>
          </w14:textFill>
        </w:rPr>
        <w:t>登录</w:t>
      </w:r>
      <w:bookmarkEnd w:id="3"/>
      <w:bookmarkEnd w:id="4"/>
      <w:bookmarkEnd w:id="5"/>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搜索“湖南省人民政府门户网站”或直接在浏览器输入“</w:t>
      </w:r>
      <w:r>
        <w:rPr>
          <w:rFonts w:hint="default"/>
          <w:color w:val="000000" w:themeColor="text1"/>
          <w:sz w:val="24"/>
          <w:lang w:val="en" w:eastAsia="zh-CN"/>
          <w14:textFill>
            <w14:solidFill>
              <w14:schemeClr w14:val="tx1"/>
            </w14:solidFill>
          </w14:textFill>
        </w:rPr>
        <w:t>http://www.hunan.gov.cn</w:t>
      </w:r>
      <w:r>
        <w:rPr>
          <w:rFonts w:hint="eastAsia"/>
          <w:color w:val="000000" w:themeColor="text1"/>
          <w:sz w:val="24"/>
          <w:lang w:val="en-US" w:eastAsia="zh-CN"/>
          <w14:textFill>
            <w14:solidFill>
              <w14:schemeClr w14:val="tx1"/>
            </w14:solidFill>
          </w14:textFill>
        </w:rPr>
        <w:t>”，进入网站后点击“一件事一次办”栏目，进入“一件事一次办专栏网站”（http://zwfw-new.hunan.gov.cn）</w:t>
      </w:r>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 w:eastAsia="zh-CN"/>
          <w14:textFill>
            <w14:solidFill>
              <w14:schemeClr w14:val="tx1"/>
            </w14:solidFill>
          </w14:textFill>
        </w:rPr>
        <w:t>点击“一件事一次办服务专区”，选择“主题式套餐式场景应用</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val="en" w:eastAsia="zh-CN"/>
          <w14:textFill>
            <w14:solidFill>
              <w14:schemeClr w14:val="tx1"/>
            </w14:solidFill>
          </w14:textFill>
        </w:rPr>
        <w:t>项目全周期应用”，点击“公共资源交易”，进入到“公共资源交易主题服务”页面。</w:t>
      </w:r>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 w:eastAsia="zh-CN"/>
          <w14:textFill>
            <w14:solidFill>
              <w14:schemeClr w14:val="tx1"/>
            </w14:solidFill>
          </w14:textFill>
        </w:rPr>
        <w:t>交易公告、今日开标信息、办事指南（服务清单、服务指南）无需登录，可直接查询和下载。</w:t>
      </w:r>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 w:eastAsia="zh-CN"/>
          <w14:textFill>
            <w14:solidFill>
              <w14:schemeClr w14:val="tx1"/>
            </w14:solidFill>
          </w14:textFill>
        </w:rPr>
        <w:t>交易项目总揽、立即办理需要用户登录后才能办理。</w:t>
      </w:r>
    </w:p>
    <w:p>
      <w:pPr>
        <w:jc w:val="center"/>
        <w:rPr>
          <w:color w:val="000000" w:themeColor="text1"/>
          <w:sz w:val="24"/>
          <w14:textFill>
            <w14:solidFill>
              <w14:schemeClr w14:val="tx1"/>
            </w14:solidFill>
          </w14:textFill>
        </w:rPr>
      </w:pPr>
      <w:r>
        <w:rPr>
          <w:sz w:val="24"/>
        </w:rPr>
        <w:drawing>
          <wp:inline distT="0" distB="0" distL="0" distR="0">
            <wp:extent cx="3959860" cy="1896745"/>
            <wp:effectExtent l="0" t="0" r="2540" b="8255"/>
            <wp:docPr id="6" name="图片 6" descr="C:\Users\尚小楼\Desktop\0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尚小楼\Desktop\02.jp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3960000" cy="1897200"/>
                    </a:xfrm>
                    <a:prstGeom prst="rect">
                      <a:avLst/>
                    </a:prstGeom>
                    <a:noFill/>
                    <a:ln>
                      <a:noFill/>
                    </a:ln>
                  </pic:spPr>
                </pic:pic>
              </a:graphicData>
            </a:graphic>
          </wp:inline>
        </w:drawing>
      </w:r>
    </w:p>
    <w:p>
      <w:pPr>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点击</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立即办理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w:t>
      </w: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r>
        <w:rPr>
          <w:sz w:val="24"/>
        </w:rPr>
        <w:drawing>
          <wp:inline distT="0" distB="0" distL="0" distR="0">
            <wp:extent cx="3959860" cy="1893570"/>
            <wp:effectExtent l="0" t="0" r="2540" b="1143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7"/>
                    <a:stretch>
                      <a:fillRect/>
                    </a:stretch>
                  </pic:blipFill>
                  <pic:spPr>
                    <a:xfrm>
                      <a:off x="0" y="0"/>
                      <a:ext cx="3960000" cy="1893600"/>
                    </a:xfrm>
                    <a:prstGeom prst="rect">
                      <a:avLst/>
                    </a:prstGeom>
                  </pic:spPr>
                </pic:pic>
              </a:graphicData>
            </a:graphic>
          </wp:inline>
        </w:drawing>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选择</w:t>
      </w:r>
      <w:r>
        <w:rPr>
          <w:rFonts w:hint="eastAsia"/>
          <w:color w:val="000000" w:themeColor="text1"/>
          <w:sz w:val="24"/>
          <w14:textFill>
            <w14:solidFill>
              <w14:schemeClr w14:val="tx1"/>
            </w14:solidFill>
          </w14:textFill>
        </w:rPr>
        <w:t>湖南省</w:t>
      </w:r>
      <w:r>
        <w:rPr>
          <w:color w:val="000000" w:themeColor="text1"/>
          <w:sz w:val="24"/>
          <w14:textFill>
            <w14:solidFill>
              <w14:schemeClr w14:val="tx1"/>
            </w14:solidFill>
          </w14:textFill>
        </w:rPr>
        <w:t>公共资源交易平台登录</w:t>
      </w:r>
      <w:r>
        <w:rPr>
          <w:rFonts w:hint="eastAsia"/>
          <w:color w:val="000000" w:themeColor="text1"/>
          <w:sz w:val="24"/>
          <w14:textFill>
            <w14:solidFill>
              <w14:schemeClr w14:val="tx1"/>
            </w14:solidFill>
          </w14:textFill>
        </w:rPr>
        <w:t>。</w:t>
      </w: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959860" cy="1896745"/>
            <wp:effectExtent l="0" t="0" r="2540" b="8255"/>
            <wp:docPr id="11" name="图片 11" descr="C:\Users\尚小楼\Desktop\0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尚小楼\Desktop\03.jp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3960000" cy="1897200"/>
                    </a:xfrm>
                    <a:prstGeom prst="rect">
                      <a:avLst/>
                    </a:prstGeom>
                    <a:noFill/>
                    <a:ln>
                      <a:noFill/>
                    </a:ln>
                  </pic:spPr>
                </pic:pic>
              </a:graphicData>
            </a:graphic>
          </wp:inline>
        </w:drawing>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完成交易主体类型选择、交易类型选择及行业选择。</w:t>
      </w: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959860" cy="1900555"/>
            <wp:effectExtent l="0" t="0" r="2540" b="4445"/>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9" cstate="print">
                      <a:extLst>
                        <a:ext uri="{28A0092B-C50C-407E-A947-70E740481C1C}">
                          <a14:useLocalDpi xmlns:a14="http://schemas.microsoft.com/office/drawing/2010/main" val="false"/>
                        </a:ext>
                      </a:extLst>
                    </a:blip>
                    <a:stretch>
                      <a:fillRect/>
                    </a:stretch>
                  </pic:blipFill>
                  <pic:spPr>
                    <a:xfrm>
                      <a:off x="0" y="0"/>
                      <a:ext cx="3960000" cy="1900800"/>
                    </a:xfrm>
                    <a:prstGeom prst="rect">
                      <a:avLst/>
                    </a:prstGeom>
                  </pic:spPr>
                </pic:pic>
              </a:graphicData>
            </a:graphic>
          </wp:inline>
        </w:drawing>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完成前序工作后，即可进入具体办事环节。</w:t>
      </w: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959860" cy="1900555"/>
            <wp:effectExtent l="0" t="0" r="2540" b="4445"/>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a:off x="0" y="0"/>
                      <a:ext cx="3960000" cy="1900800"/>
                    </a:xfrm>
                    <a:prstGeom prst="rect">
                      <a:avLst/>
                    </a:prstGeom>
                  </pic:spPr>
                </pic:pic>
              </a:graphicData>
            </a:graphic>
          </wp:inline>
        </w:drawing>
      </w:r>
    </w:p>
    <w:p>
      <w:pPr>
        <w:ind w:firstLine="481" w:firstLineChars="200"/>
        <w:jc w:val="left"/>
        <w:rPr>
          <w:rFonts w:ascii="仿宋" w:hAnsi="仿宋" w:eastAsia="仿宋"/>
          <w:b/>
          <w:color w:val="000000" w:themeColor="text1"/>
          <w:sz w:val="32"/>
          <w:szCs w:val="32"/>
          <w14:textFill>
            <w14:solidFill>
              <w14:schemeClr w14:val="tx1"/>
            </w14:solidFill>
          </w14:textFill>
        </w:rPr>
      </w:pPr>
      <w:r>
        <w:rPr>
          <w:rFonts w:hint="eastAsia"/>
          <w:b/>
          <w:bCs/>
          <w:color w:val="000000" w:themeColor="text1"/>
          <w:sz w:val="24"/>
          <w:lang w:eastAsia="zh-CN"/>
          <w14:textFill>
            <w14:solidFill>
              <w14:schemeClr w14:val="tx1"/>
            </w14:solidFill>
          </w14:textFill>
        </w:rPr>
        <w:t>注意：</w:t>
      </w:r>
      <w:r>
        <w:rPr>
          <w:rFonts w:hint="eastAsia"/>
          <w:color w:val="000000" w:themeColor="text1"/>
          <w:sz w:val="24"/>
          <w14:textFill>
            <w14:solidFill>
              <w14:schemeClr w14:val="tx1"/>
            </w14:solidFill>
          </w14:textFill>
        </w:rPr>
        <w:t>未注册账号的用户，请</w:t>
      </w:r>
      <w:r>
        <w:rPr>
          <w:rFonts w:hint="eastAsia"/>
          <w:color w:val="000000" w:themeColor="text1"/>
          <w:sz w:val="24"/>
          <w:lang w:eastAsia="zh-CN"/>
          <w14:textFill>
            <w14:solidFill>
              <w14:schemeClr w14:val="tx1"/>
            </w14:solidFill>
          </w14:textFill>
        </w:rPr>
        <w:t>通过系统引导进行注册，并跳转至“公共资源交易统一注册平台”完善相关信息，完成相关实名制信息</w:t>
      </w:r>
      <w:r>
        <w:rPr>
          <w:rFonts w:hint="eastAsia"/>
          <w:color w:val="000000" w:themeColor="text1"/>
          <w:sz w:val="24"/>
          <w14:textFill>
            <w14:solidFill>
              <w14:schemeClr w14:val="tx1"/>
            </w14:solidFill>
          </w14:textFill>
        </w:rPr>
        <w:t>。已注册账号的用户直接登录交易系统，无需重复注册。</w:t>
      </w:r>
    </w:p>
    <w:p>
      <w:pPr>
        <w:keepNext w:val="0"/>
        <w:keepLines w:val="0"/>
        <w:widowControl/>
        <w:suppressLineNumbers w:val="0"/>
        <w:ind w:firstLine="480" w:firstLineChars="200"/>
        <w:jc w:val="left"/>
      </w:pPr>
      <w:r>
        <w:rPr>
          <w:rFonts w:hint="eastAsia"/>
          <w:color w:val="FF0000"/>
          <w:sz w:val="24"/>
          <w:highlight w:val="yellow"/>
          <w:shd w:val="clear" w:color="auto" w:fill="FFC000"/>
        </w:rPr>
        <w:t>温馨提示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若登录注册平台提示已注册，交易系统又提示</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“未匹配到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***单位主体信息”，请先到注册平台</w:t>
      </w:r>
      <w:r>
        <w:rPr>
          <w:rFonts w:hint="eastAsia"/>
          <w:color w:val="000000" w:themeColor="text1"/>
          <w:sz w:val="24"/>
          <w:lang w:eastAsia="zh-CN"/>
          <w14:textFill>
            <w14:solidFill>
              <w14:schemeClr w14:val="tx1"/>
            </w14:solidFill>
          </w14:textFill>
        </w:rPr>
        <w:t>（http://222.240.80.14:8888/G2/）</w:t>
      </w:r>
      <w:r>
        <w:rPr>
          <w:color w:val="000000" w:themeColor="text1"/>
          <w:sz w:val="24"/>
          <w14:textFill>
            <w14:solidFill>
              <w14:schemeClr w14:val="tx1"/>
            </w14:solidFill>
          </w14:textFill>
        </w:rPr>
        <w:t>找回账号密码后，登录注册平台完善信息提交之后</w:t>
      </w:r>
      <w:r>
        <w:rPr>
          <w:rFonts w:hint="eastAsia"/>
          <w:color w:val="000000" w:themeColor="text1"/>
          <w:sz w:val="24"/>
          <w14:textFill>
            <w14:solidFill>
              <w14:schemeClr w14:val="tx1"/>
            </w14:solidFill>
          </w14:textFill>
        </w:rPr>
        <w:t>，再尝试登录湖南一件事一次办“公共资源交易”一件事主题服务网站</w:t>
      </w:r>
      <w:r>
        <w:rPr>
          <w:rFonts w:hint="eastAsia"/>
          <w:color w:val="000000" w:themeColor="text1"/>
          <w:sz w:val="24"/>
          <w:lang w:eastAsia="zh-CN"/>
          <w14:textFill>
            <w14:solidFill>
              <w14:schemeClr w14:val="tx1"/>
            </w14:solidFill>
          </w14:textFill>
        </w:rPr>
        <w:t>，统一注册平台使用技术支持电话：</w:t>
      </w:r>
      <w:r>
        <w:rPr>
          <w:rFonts w:hint="eastAsia"/>
          <w:color w:val="000000" w:themeColor="text1"/>
          <w:sz w:val="24"/>
          <w:lang w:val="en-US" w:eastAsia="zh-CN"/>
          <w14:textFill>
            <w14:solidFill>
              <w14:schemeClr w14:val="tx1"/>
            </w14:solidFill>
          </w14:textFill>
        </w:rPr>
        <w:t>19372007716。</w:t>
      </w:r>
    </w:p>
    <w:p>
      <w:pPr>
        <w:ind w:firstLine="480" w:firstLineChars="200"/>
        <w:rPr>
          <w:rFonts w:hint="eastAsia"/>
          <w:color w:val="000000" w:themeColor="text1"/>
          <w14:textFill>
            <w14:solidFill>
              <w14:schemeClr w14:val="tx1"/>
            </w14:solidFill>
          </w14:textFill>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8" w:name="_Toc1351178730"/>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项目进场信息填报</w:t>
      </w:r>
      <w:bookmarkEnd w:id="8"/>
    </w:p>
    <w:p>
      <w:pPr>
        <w:numPr>
          <w:ilvl w:val="0"/>
          <w:numId w:val="0"/>
        </w:numP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采购代理机构填报递交进场交易项目信息，填报入口</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如下</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numPr>
          <w:ilvl w:val="0"/>
          <w:numId w:val="0"/>
        </w:numPr>
        <w:rPr>
          <w:rFonts w:hint="eastAsia"/>
          <w:color w:val="000000" w:themeColor="text1"/>
          <w:lang w:eastAsia="zh-CN"/>
          <w14:textFill>
            <w14:solidFill>
              <w14:schemeClr w14:val="tx1"/>
            </w14:solidFill>
          </w14:textFill>
        </w:rPr>
      </w:pPr>
      <w:r>
        <w:drawing>
          <wp:inline distT="0" distB="0" distL="114300" distR="114300">
            <wp:extent cx="5272405" cy="5092700"/>
            <wp:effectExtent l="0" t="0" r="4445" b="1270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1"/>
                    <a:stretch>
                      <a:fillRect/>
                    </a:stretch>
                  </pic:blipFill>
                  <pic:spPr>
                    <a:xfrm>
                      <a:off x="0" y="0"/>
                      <a:ext cx="5272405" cy="5092700"/>
                    </a:xfrm>
                    <a:prstGeom prst="rect">
                      <a:avLst/>
                    </a:prstGeom>
                    <a:noFill/>
                    <a:ln>
                      <a:noFill/>
                    </a:ln>
                  </pic:spPr>
                </pic:pic>
              </a:graphicData>
            </a:graphic>
          </wp:inline>
        </w:drawing>
      </w:r>
    </w:p>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）应准确填报专家来源构成和数量，便于准确预算专家费；</w:t>
      </w:r>
    </w:p>
    <w:p>
      <w:pPr>
        <w:numPr>
          <w:ilvl w:val="0"/>
          <w:numId w:val="0"/>
        </w:numPr>
        <w:jc w:val="left"/>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（2）</w:t>
      </w:r>
      <w:r>
        <w:rPr>
          <w:rFonts w:hint="eastAsia"/>
          <w:color w:val="000000" w:themeColor="text1"/>
          <w:lang w:eastAsia="zh-CN"/>
          <w14:textFill>
            <w14:solidFill>
              <w14:schemeClr w14:val="tx1"/>
            </w14:solidFill>
          </w14:textFill>
        </w:rPr>
        <w:t>应准确填报是否有样品及样品规格、是否隔夜评标或特定评审软件（或评审所需查询网站）等特殊要求。应正确勾选场地需求，及填写开评标补充说明，便于系统自动匹配相应评标室；</w:t>
      </w:r>
    </w:p>
    <w:p>
      <w:pPr>
        <w:ind w:firstLine="480" w:firstLineChars="20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应科学划分包组评审，多包项目预估评审时间较长，超过评标当天21点的项目，应当采取分组评审或当日开标隔日评标的方式预约场地。综合评分法的不超过3包为一组评审，最低价法的不超过5包为一组评审。</w:t>
      </w:r>
    </w:p>
    <w:p>
      <w:pPr>
        <w:ind w:firstLine="480" w:firstLineChars="200"/>
        <w:jc w:val="left"/>
        <w:rPr>
          <w:rFonts w:hint="eastAsia"/>
          <w:color w:val="000000" w:themeColor="text1"/>
          <w:lang w:eastAsia="zh-CN"/>
          <w14:textFill>
            <w14:solidFill>
              <w14:schemeClr w14:val="tx1"/>
            </w14:solidFill>
          </w14:textFill>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9" w:name="_Toc536247122"/>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网上开标</w:t>
      </w:r>
      <w:bookmarkEnd w:id="9"/>
    </w:p>
    <w:p>
      <w:pPr>
        <w:numPr>
          <w:ilvl w:val="0"/>
          <w:numId w:val="0"/>
        </w:numPr>
        <w:ind w:firstLine="642"/>
        <w:jc w:val="left"/>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代理机构按招标文件约定的投标截止时间（开标时间）提前10分钟至省交易中心预订的开标室（开标席位）。登录入口如下：</w:t>
      </w:r>
    </w:p>
    <w:p>
      <w:pPr>
        <w:numPr>
          <w:ilvl w:val="0"/>
          <w:numId w:val="0"/>
        </w:numPr>
        <w:ind w:firstLine="642"/>
        <w:jc w:val="left"/>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drawing>
          <wp:inline distT="0" distB="0" distL="114300" distR="114300">
            <wp:extent cx="5273675" cy="4867275"/>
            <wp:effectExtent l="0" t="0" r="3175" b="9525"/>
            <wp:docPr id="3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true"/>
                    </pic:cNvPicPr>
                  </pic:nvPicPr>
                  <pic:blipFill>
                    <a:blip r:embed="rId12"/>
                    <a:stretch>
                      <a:fillRect/>
                    </a:stretch>
                  </pic:blipFill>
                  <pic:spPr>
                    <a:xfrm>
                      <a:off x="0" y="0"/>
                      <a:ext cx="5273675" cy="4867275"/>
                    </a:xfrm>
                    <a:prstGeom prst="rect">
                      <a:avLst/>
                    </a:prstGeom>
                    <a:noFill/>
                    <a:ln>
                      <a:noFill/>
                    </a:ln>
                  </pic:spPr>
                </pic:pic>
              </a:graphicData>
            </a:graphic>
          </wp:inline>
        </w:drawing>
      </w:r>
    </w:p>
    <w:p>
      <w:pPr>
        <w:numPr>
          <w:ilvl w:val="0"/>
          <w:numId w:val="0"/>
        </w:numPr>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注：采购代理机构在开标室（开标席位）的电脑上打开桌面“网上开标大厅”，登录网上开标系统开标。</w:t>
      </w:r>
    </w:p>
    <w:p>
      <w:pPr>
        <w:numPr>
          <w:ilvl w:val="0"/>
          <w:numId w:val="0"/>
        </w:numPr>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w:t>
      </w:r>
    </w:p>
    <w:p>
      <w:pPr>
        <w:numPr>
          <w:ilvl w:val="0"/>
          <w:numId w:val="0"/>
        </w:numPr>
        <w:ind w:left="480" w:leftChars="0"/>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0" w:name="_Toc1819907704"/>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开标过程</w:t>
      </w:r>
      <w:bookmarkEnd w:id="10"/>
    </w:p>
    <w:p>
      <w:pPr>
        <w:numPr>
          <w:ilvl w:val="0"/>
          <w:numId w:val="0"/>
        </w:numPr>
        <w:ind w:firstLine="480"/>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采购代理机构通过网上开标系统、网上开标直播完成开标过程，按招标文件规定，公布供应商信息、报价等情况，同时接受供应商的咨询或异议答复。登录入口如下：</w:t>
      </w:r>
    </w:p>
    <w:p>
      <w:pPr>
        <w:numPr>
          <w:ilvl w:val="0"/>
          <w:numId w:val="0"/>
        </w:numPr>
        <w:ind w:firstLine="480"/>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r>
        <w:drawing>
          <wp:inline distT="0" distB="0" distL="114300" distR="114300">
            <wp:extent cx="5271135" cy="5083175"/>
            <wp:effectExtent l="0" t="0" r="5715" b="3175"/>
            <wp:docPr id="3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true"/>
                    </pic:cNvPicPr>
                  </pic:nvPicPr>
                  <pic:blipFill>
                    <a:blip r:embed="rId13"/>
                    <a:stretch>
                      <a:fillRect/>
                    </a:stretch>
                  </pic:blipFill>
                  <pic:spPr>
                    <a:xfrm>
                      <a:off x="0" y="0"/>
                      <a:ext cx="5271135" cy="5083175"/>
                    </a:xfrm>
                    <a:prstGeom prst="rect">
                      <a:avLst/>
                    </a:prstGeom>
                    <a:noFill/>
                    <a:ln>
                      <a:noFill/>
                    </a:ln>
                  </pic:spPr>
                </pic:pic>
              </a:graphicData>
            </a:graphic>
          </wp:inline>
        </w:drawing>
      </w:r>
    </w:p>
    <w:p>
      <w:pPr>
        <w:numPr>
          <w:ilvl w:val="0"/>
          <w:numId w:val="0"/>
        </w:numPr>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p>
    <w:p>
      <w:pPr>
        <w:numPr>
          <w:ilvl w:val="0"/>
          <w:numId w:val="0"/>
        </w:numPr>
        <w:jc w:val="left"/>
        <w:rPr>
          <w:rFonts w:hint="eastAsia" w:asciiTheme="minorEastAsia" w:hAnsiTheme="minorEastAsia" w:cstheme="minorEastAsia"/>
          <w:b w:val="0"/>
          <w:bCs w:val="0"/>
          <w:color w:val="000000" w:themeColor="text1"/>
          <w:sz w:val="24"/>
          <w:szCs w:val="24"/>
          <w:lang w:eastAsia="zh-CN"/>
          <w14:textFill>
            <w14:solidFill>
              <w14:schemeClr w14:val="tx1"/>
            </w14:solidFill>
          </w14:textFill>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1" w:name="_Toc1257175335"/>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开标结束操作</w:t>
      </w:r>
      <w:bookmarkEnd w:id="11"/>
    </w:p>
    <w:p>
      <w:pPr>
        <w:numPr>
          <w:ilvl w:val="0"/>
          <w:numId w:val="0"/>
        </w:numPr>
        <w:ind w:firstLine="480"/>
        <w:jc w:val="both"/>
        <w:rPr>
          <w:rFonts w:hint="eastAsia"/>
          <w:lang w:eastAsia="zh-CN"/>
        </w:rPr>
      </w:pPr>
      <w:r>
        <w:rPr>
          <w:rFonts w:hint="eastAsia"/>
          <w:lang w:eastAsia="zh-CN"/>
        </w:rPr>
        <w:t>采购代理机构在网上开标大厅结束开标。登录入口如下：</w:t>
      </w:r>
    </w:p>
    <w:p>
      <w:pPr>
        <w:numPr>
          <w:ilvl w:val="0"/>
          <w:numId w:val="0"/>
        </w:numPr>
        <w:ind w:firstLine="480"/>
        <w:jc w:val="both"/>
        <w:rPr>
          <w:rFonts w:hint="eastAsia"/>
          <w:lang w:eastAsia="zh-CN"/>
        </w:rPr>
      </w:pPr>
      <w:r>
        <w:drawing>
          <wp:inline distT="0" distB="0" distL="114300" distR="114300">
            <wp:extent cx="5269865" cy="4733290"/>
            <wp:effectExtent l="0" t="0" r="6985" b="10160"/>
            <wp:docPr id="36"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true"/>
                    </pic:cNvPicPr>
                  </pic:nvPicPr>
                  <pic:blipFill>
                    <a:blip r:embed="rId14"/>
                    <a:stretch>
                      <a:fillRect/>
                    </a:stretch>
                  </pic:blipFill>
                  <pic:spPr>
                    <a:xfrm>
                      <a:off x="0" y="0"/>
                      <a:ext cx="5269865" cy="4733290"/>
                    </a:xfrm>
                    <a:prstGeom prst="rect">
                      <a:avLst/>
                    </a:prstGeom>
                    <a:noFill/>
                    <a:ln>
                      <a:noFill/>
                    </a:ln>
                  </pic:spPr>
                </pic:pic>
              </a:graphicData>
            </a:graphic>
          </wp:inline>
        </w:drawing>
      </w:r>
    </w:p>
    <w:p>
      <w:pPr>
        <w:jc w:val="both"/>
        <w:rPr>
          <w:rFonts w:hint="eastAsia" w:eastAsiaTheme="minorEastAsia"/>
          <w:lang w:eastAsia="zh-CN"/>
        </w:rPr>
      </w:pPr>
      <w:r>
        <w:rPr>
          <w:rFonts w:hint="eastAsia"/>
          <w:color w:val="FF0000"/>
          <w:sz w:val="24"/>
          <w:highlight w:val="yellow"/>
          <w:shd w:val="clear" w:color="auto" w:fill="FFC000"/>
          <w:lang w:eastAsia="zh-CN"/>
        </w:rPr>
        <w:t>温馨提示</w:t>
      </w:r>
      <w:r>
        <w:rPr>
          <w:rFonts w:hint="eastAsia"/>
          <w:lang w:eastAsia="zh-CN"/>
        </w:rPr>
        <w:t>：项目正常开标时，按照开标流程，点击开标结束即可；招标项目存在异常时，直接点击网上开标大厅右下角终止开标按钮，输入项目异常终止原因后结束开标。</w:t>
      </w:r>
    </w:p>
    <w:p>
      <w:pPr>
        <w:jc w:val="center"/>
      </w:pPr>
    </w:p>
    <w:p>
      <w:pPr>
        <w:jc w:val="cente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2" w:name="_Toc334863039"/>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监督入区申请</w:t>
      </w:r>
      <w:bookmarkEnd w:id="12"/>
    </w:p>
    <w:p>
      <w:pPr>
        <w:numPr>
          <w:ilvl w:val="0"/>
          <w:numId w:val="0"/>
        </w:numPr>
        <w:ind w:firstLine="480"/>
        <w:jc w:val="both"/>
        <w:rPr>
          <w:rFonts w:hint="eastAsia"/>
          <w:lang w:eastAsia="zh-CN"/>
        </w:rPr>
      </w:pPr>
      <w:r>
        <w:rPr>
          <w:rFonts w:hint="eastAsia"/>
          <w:lang w:eastAsia="zh-CN"/>
        </w:rPr>
        <w:t>项目开标前，采购代理机构在电子交易系统填写并提交该项目监督人员申请信息，同时上传加盖项目单位公章的授权书扫描件或者行政监督人员职务证明。登录入口如下：</w:t>
      </w:r>
    </w:p>
    <w:p>
      <w:pPr>
        <w:numPr>
          <w:ilvl w:val="0"/>
          <w:numId w:val="0"/>
        </w:numPr>
        <w:ind w:firstLine="480"/>
        <w:jc w:val="both"/>
      </w:pPr>
      <w:r>
        <w:drawing>
          <wp:inline distT="0" distB="0" distL="114300" distR="114300">
            <wp:extent cx="5268595" cy="4857750"/>
            <wp:effectExtent l="0" t="0" r="8255" b="0"/>
            <wp:docPr id="37"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true"/>
                    </pic:cNvPicPr>
                  </pic:nvPicPr>
                  <pic:blipFill>
                    <a:blip r:embed="rId15"/>
                    <a:stretch>
                      <a:fillRect/>
                    </a:stretch>
                  </pic:blipFill>
                  <pic:spPr>
                    <a:xfrm>
                      <a:off x="0" y="0"/>
                      <a:ext cx="5268595" cy="4857750"/>
                    </a:xfrm>
                    <a:prstGeom prst="rect">
                      <a:avLst/>
                    </a:prstGeom>
                    <a:noFill/>
                    <a:ln>
                      <a:noFill/>
                    </a:ln>
                  </pic:spPr>
                </pic:pic>
              </a:graphicData>
            </a:graphic>
          </wp:inline>
        </w:drawing>
      </w:r>
    </w:p>
    <w:p>
      <w:pPr>
        <w:numPr>
          <w:ilvl w:val="0"/>
          <w:numId w:val="0"/>
        </w:numPr>
        <w:jc w:val="both"/>
        <w:rPr>
          <w:rFonts w:hint="eastAsia"/>
          <w:lang w:eastAsia="zh-CN"/>
        </w:rPr>
      </w:pPr>
      <w:r>
        <w:rPr>
          <w:rFonts w:hint="eastAsia"/>
          <w:color w:val="FF0000"/>
          <w:sz w:val="24"/>
          <w:highlight w:val="yellow"/>
          <w:shd w:val="clear" w:color="auto" w:fill="FFC000"/>
          <w:lang w:eastAsia="zh-CN"/>
        </w:rPr>
        <w:t>温馨提示</w:t>
      </w:r>
      <w:r>
        <w:rPr>
          <w:rFonts w:hint="eastAsia"/>
          <w:lang w:eastAsia="zh-CN"/>
        </w:rPr>
        <w:t>：入区人员仅为行政监督或者采购人监督，一个项目最多允许2人入区。</w:t>
      </w:r>
    </w:p>
    <w:p>
      <w:pPr>
        <w:numPr>
          <w:ilvl w:val="0"/>
          <w:numId w:val="0"/>
        </w:numPr>
        <w:jc w:val="both"/>
        <w:rPr>
          <w:rFonts w:hint="eastAsia"/>
          <w:lang w:eastAsia="zh-CN"/>
        </w:rPr>
      </w:pPr>
    </w:p>
    <w:p>
      <w:pPr>
        <w:numPr>
          <w:ilvl w:val="0"/>
          <w:numId w:val="0"/>
        </w:numPr>
        <w:jc w:val="both"/>
        <w:rPr>
          <w:rFonts w:hint="eastAsia"/>
          <w:lang w:eastAsia="zh-CN"/>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3" w:name="_Toc609443016"/>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评审专家入区</w:t>
      </w:r>
      <w:bookmarkEnd w:id="13"/>
    </w:p>
    <w:p>
      <w:pPr>
        <w:numPr>
          <w:ilvl w:val="0"/>
          <w:numId w:val="0"/>
        </w:numPr>
        <w:jc w:val="both"/>
        <w:rPr>
          <w:rFonts w:hint="eastAsia"/>
          <w:lang w:eastAsia="zh-CN"/>
        </w:rPr>
      </w:pPr>
      <w:r>
        <w:rPr>
          <w:rFonts w:hint="eastAsia"/>
          <w:lang w:val="en-US" w:eastAsia="zh-CN"/>
        </w:rPr>
        <w:t xml:space="preserve">    </w:t>
      </w:r>
      <w:r>
        <w:rPr>
          <w:rFonts w:hint="eastAsia"/>
          <w:lang w:eastAsia="zh-CN"/>
        </w:rPr>
        <w:t>采购人委派采购人代表参加评审的，采购代理机构应在电子交易系统填写并提交该项目采购人代表信息，同时上传加盖项目单位公章的授权书扫描件。登录入口如下：</w:t>
      </w:r>
    </w:p>
    <w:p>
      <w:pPr>
        <w:numPr>
          <w:ilvl w:val="0"/>
          <w:numId w:val="0"/>
        </w:numPr>
        <w:ind w:firstLine="480"/>
        <w:jc w:val="both"/>
      </w:pPr>
      <w:r>
        <w:drawing>
          <wp:inline distT="0" distB="0" distL="114300" distR="114300">
            <wp:extent cx="5266690" cy="5158740"/>
            <wp:effectExtent l="0" t="0" r="10160" b="3810"/>
            <wp:docPr id="38"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true"/>
                    </pic:cNvPicPr>
                  </pic:nvPicPr>
                  <pic:blipFill>
                    <a:blip r:embed="rId16"/>
                    <a:stretch>
                      <a:fillRect/>
                    </a:stretch>
                  </pic:blipFill>
                  <pic:spPr>
                    <a:xfrm>
                      <a:off x="0" y="0"/>
                      <a:ext cx="5266690" cy="5158740"/>
                    </a:xfrm>
                    <a:prstGeom prst="rect">
                      <a:avLst/>
                    </a:prstGeom>
                    <a:noFill/>
                    <a:ln>
                      <a:noFill/>
                    </a:ln>
                  </pic:spPr>
                </pic:pic>
              </a:graphicData>
            </a:graphic>
          </wp:inline>
        </w:drawing>
      </w:r>
    </w:p>
    <w:p>
      <w:pPr>
        <w:numPr>
          <w:ilvl w:val="0"/>
          <w:numId w:val="0"/>
        </w:numPr>
        <w:ind w:firstLine="480"/>
        <w:jc w:val="both"/>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4" w:name="_Toc1578004897"/>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项目复核</w:t>
      </w:r>
      <w:bookmarkEnd w:id="14"/>
    </w:p>
    <w:p>
      <w:pPr>
        <w:numPr>
          <w:ilvl w:val="0"/>
          <w:numId w:val="0"/>
        </w:numPr>
        <w:ind w:firstLine="480"/>
        <w:jc w:val="both"/>
        <w:rPr>
          <w:rFonts w:hint="eastAsia"/>
          <w:lang w:eastAsia="zh-CN"/>
        </w:rPr>
      </w:pPr>
      <w:r>
        <w:rPr>
          <w:rFonts w:hint="eastAsia"/>
          <w:lang w:eastAsia="zh-CN"/>
        </w:rPr>
        <w:t>评标报告签署前，评审专家发起项目复核申请，采购代理机构收到项目复核通知后，登录系统，进入相关项目，按系统提示的页面开展项目在线复核。登录入口如下：</w:t>
      </w:r>
    </w:p>
    <w:p>
      <w:pPr>
        <w:numPr>
          <w:ilvl w:val="0"/>
          <w:numId w:val="0"/>
        </w:numPr>
        <w:ind w:firstLine="480"/>
        <w:jc w:val="both"/>
      </w:pPr>
      <w:r>
        <w:drawing>
          <wp:inline distT="0" distB="0" distL="114300" distR="114300">
            <wp:extent cx="5268595" cy="4902835"/>
            <wp:effectExtent l="0" t="0" r="8255" b="12065"/>
            <wp:docPr id="39"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true"/>
                    </pic:cNvPicPr>
                  </pic:nvPicPr>
                  <pic:blipFill>
                    <a:blip r:embed="rId17"/>
                    <a:stretch>
                      <a:fillRect/>
                    </a:stretch>
                  </pic:blipFill>
                  <pic:spPr>
                    <a:xfrm>
                      <a:off x="0" y="0"/>
                      <a:ext cx="5268595" cy="4902835"/>
                    </a:xfrm>
                    <a:prstGeom prst="rect">
                      <a:avLst/>
                    </a:prstGeom>
                    <a:noFill/>
                    <a:ln>
                      <a:noFill/>
                    </a:ln>
                  </pic:spPr>
                </pic:pic>
              </a:graphicData>
            </a:graphic>
          </wp:inline>
        </w:drawing>
      </w:r>
    </w:p>
    <w:p>
      <w:pPr>
        <w:numPr>
          <w:ilvl w:val="0"/>
          <w:numId w:val="0"/>
        </w:numPr>
        <w:jc w:val="both"/>
        <w:rPr>
          <w:rFonts w:hint="eastAsia"/>
          <w:lang w:eastAsia="zh-CN"/>
        </w:rPr>
      </w:pPr>
      <w:r>
        <w:rPr>
          <w:rFonts w:hint="eastAsia"/>
          <w:lang w:eastAsia="zh-CN"/>
        </w:rPr>
        <w:t>注：采购代理机构在项目复核时，如有疑问或不同意见，可通过系统录入意见；经复核后，评审专家如需修改评标分数的，必须注明理由。且原评标分数系统自动记录备查。</w:t>
      </w:r>
    </w:p>
    <w:p>
      <w:pPr>
        <w:numPr>
          <w:ilvl w:val="0"/>
          <w:numId w:val="0"/>
        </w:numPr>
        <w:jc w:val="both"/>
        <w:rPr>
          <w:rFonts w:hint="eastAsia"/>
          <w:lang w:eastAsia="zh-CN"/>
        </w:rPr>
      </w:pPr>
    </w:p>
    <w:p>
      <w:pPr>
        <w:numPr>
          <w:ilvl w:val="0"/>
          <w:numId w:val="0"/>
        </w:numPr>
        <w:jc w:val="both"/>
        <w:rPr>
          <w:rFonts w:hint="eastAsia"/>
          <w:lang w:eastAsia="zh-CN"/>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5" w:name="_Toc724794204"/>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查询、保存项目档案</w:t>
      </w:r>
      <w:bookmarkEnd w:id="15"/>
    </w:p>
    <w:p>
      <w:pPr>
        <w:numPr>
          <w:ilvl w:val="0"/>
          <w:numId w:val="0"/>
        </w:numPr>
        <w:jc w:val="both"/>
        <w:rPr>
          <w:rFonts w:hint="eastAsia"/>
          <w:lang w:eastAsia="zh-CN"/>
        </w:rPr>
      </w:pPr>
      <w:r>
        <w:rPr>
          <w:rFonts w:hint="eastAsia"/>
          <w:lang w:val="en-US" w:eastAsia="zh-CN"/>
        </w:rPr>
        <w:t xml:space="preserve">    </w:t>
      </w:r>
      <w:r>
        <w:rPr>
          <w:rFonts w:hint="eastAsia"/>
          <w:lang w:eastAsia="zh-CN"/>
        </w:rPr>
        <w:t>评标结束后，采购人/代理机构可及时查看中标单位的投标文件及评标过程的档案资料；登录入口：</w:t>
      </w:r>
    </w:p>
    <w:p>
      <w:pPr>
        <w:numPr>
          <w:ilvl w:val="0"/>
          <w:numId w:val="0"/>
        </w:numPr>
        <w:ind w:firstLine="480"/>
        <w:jc w:val="both"/>
      </w:pPr>
      <w:r>
        <w:drawing>
          <wp:inline distT="0" distB="0" distL="114300" distR="114300">
            <wp:extent cx="5271770" cy="4850130"/>
            <wp:effectExtent l="0" t="0" r="5080" b="7620"/>
            <wp:docPr id="40"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true"/>
                    </pic:cNvPicPr>
                  </pic:nvPicPr>
                  <pic:blipFill>
                    <a:blip r:embed="rId18"/>
                    <a:stretch>
                      <a:fillRect/>
                    </a:stretch>
                  </pic:blipFill>
                  <pic:spPr>
                    <a:xfrm>
                      <a:off x="0" y="0"/>
                      <a:ext cx="5271770" cy="4850130"/>
                    </a:xfrm>
                    <a:prstGeom prst="rect">
                      <a:avLst/>
                    </a:prstGeom>
                    <a:noFill/>
                    <a:ln>
                      <a:noFill/>
                    </a:ln>
                  </pic:spPr>
                </pic:pic>
              </a:graphicData>
            </a:graphic>
          </wp:inline>
        </w:drawing>
      </w:r>
    </w:p>
    <w:p>
      <w:pPr>
        <w:numPr>
          <w:ilvl w:val="0"/>
          <w:numId w:val="0"/>
        </w:numPr>
        <w:jc w:val="both"/>
        <w:rPr>
          <w:rFonts w:hint="eastAsia" w:eastAsiaTheme="minorEastAsia"/>
          <w:lang w:eastAsia="zh-CN"/>
        </w:rPr>
      </w:pPr>
      <w:r>
        <w:rPr>
          <w:rFonts w:hint="eastAsia"/>
          <w:lang w:eastAsia="zh-CN"/>
        </w:rPr>
        <w:t>注：采购代理机构可在项目完全结束后可查询下载项目相关资料，由采购人自行保管项目档案资料；未进入流程的资料或没有上传系统的资料，系统将无法查询或下载保存。</w:t>
      </w:r>
    </w:p>
    <w:bookmarkEnd w:id="6"/>
    <w:bookmarkEnd w:id="7"/>
    <w:p>
      <w:pPr>
        <w:numPr>
          <w:ilvl w:val="0"/>
          <w:numId w:val="0"/>
        </w:numPr>
        <w:ind w:firstLine="480"/>
        <w:jc w:val="both"/>
        <w:rPr>
          <w:rFonts w:hint="eastAsia"/>
          <w:lang w:eastAsia="zh-CN"/>
        </w:rPr>
      </w:pPr>
    </w:p>
    <w:p>
      <w:pPr>
        <w:numPr>
          <w:ilvl w:val="0"/>
          <w:numId w:val="0"/>
        </w:numPr>
        <w:ind w:firstLine="480"/>
        <w:jc w:val="both"/>
        <w:rPr>
          <w:rFonts w:hint="eastAsia"/>
          <w:lang w:eastAsia="zh-CN"/>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6" w:name="_Toc944008865"/>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其他</w:t>
      </w:r>
      <w:bookmarkEnd w:id="16"/>
    </w:p>
    <w:p>
      <w:pPr>
        <w:numPr>
          <w:ilvl w:val="0"/>
          <w:numId w:val="0"/>
        </w:numPr>
        <w:ind w:firstLine="480"/>
        <w:jc w:val="both"/>
        <w:rPr>
          <w:rFonts w:hint="eastAsia"/>
          <w:lang w:eastAsia="zh-CN"/>
        </w:rPr>
      </w:pPr>
      <w:r>
        <w:rPr>
          <w:rFonts w:hint="eastAsia"/>
          <w:lang w:eastAsia="zh-CN"/>
        </w:rPr>
        <w:t>采购代理机构还有需要进入交易系统进行“其他”一次办的事项，均可登录“其他”一次办窗口中的链接进入省公共资源交易中心相关系统办理。</w:t>
      </w:r>
    </w:p>
    <w:p>
      <w:pPr>
        <w:numPr>
          <w:ilvl w:val="0"/>
          <w:numId w:val="0"/>
        </w:numPr>
        <w:jc w:val="both"/>
        <w:rPr>
          <w:rFonts w:hint="eastAsia"/>
          <w:lang w:eastAsia="zh-CN"/>
        </w:rPr>
      </w:pPr>
      <w:r>
        <w:drawing>
          <wp:inline distT="0" distB="0" distL="114300" distR="114300">
            <wp:extent cx="5271770" cy="4850130"/>
            <wp:effectExtent l="0" t="0" r="5080" b="7620"/>
            <wp:docPr id="4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10"/>
                    <pic:cNvPicPr>
                      <a:picLocks noChangeAspect="true"/>
                    </pic:cNvPicPr>
                  </pic:nvPicPr>
                  <pic:blipFill>
                    <a:blip r:embed="rId18"/>
                    <a:stretch>
                      <a:fillRect/>
                    </a:stretch>
                  </pic:blipFill>
                  <pic:spPr>
                    <a:xfrm>
                      <a:off x="0" y="0"/>
                      <a:ext cx="5271770" cy="4850130"/>
                    </a:xfrm>
                    <a:prstGeom prst="rect">
                      <a:avLst/>
                    </a:prstGeom>
                    <a:noFill/>
                    <a:ln>
                      <a:noFill/>
                    </a:ln>
                  </pic:spPr>
                </pic:pic>
              </a:graphicData>
            </a:graphic>
          </wp:inline>
        </w:drawing>
      </w:r>
    </w:p>
    <w:p>
      <w:pPr>
        <w:numPr>
          <w:ilvl w:val="0"/>
          <w:numId w:val="0"/>
        </w:numPr>
        <w:ind w:firstLine="480"/>
        <w:jc w:val="both"/>
        <w:rPr>
          <w:rFonts w:hint="eastAsia"/>
          <w:lang w:eastAsia="zh-CN"/>
        </w:rPr>
      </w:pPr>
    </w:p>
    <w:p>
      <w:pPr>
        <w:numPr>
          <w:ilvl w:val="0"/>
          <w:numId w:val="0"/>
        </w:numPr>
        <w:ind w:leftChars="200"/>
        <w:jc w:val="both"/>
        <w:rPr>
          <w:rFonts w:hint="eastAsia"/>
          <w:lang w:eastAsia="zh-CN"/>
        </w:rPr>
      </w:pPr>
      <w:bookmarkStart w:id="17" w:name="_GoBack"/>
      <w:bookmarkEnd w:id="17"/>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ctionIcon ! important">
    <w:altName w:val="仿宋"/>
    <w:panose1 w:val="00000000000000000000"/>
    <w:charset w:val="00"/>
    <w:family w:val="auto"/>
    <w:pitch w:val="default"/>
    <w:sig w:usb0="00000000" w:usb1="00000000" w:usb2="00000000" w:usb3="00000000" w:csb0="0000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ql5uc8AAAAFAQAADwAAAAAAAAABACAAAAA4AAAAZHJzL2Rvd25yZXYueG1sUEsBAhQA&#10;FAAAAAgAh07iQCbPURCsAQAARgMAAA4AAAAAAAAAAQAgAAAANA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B4B48"/>
    <w:multiLevelType w:val="singleLevel"/>
    <w:tmpl w:val="BFDB4B48"/>
    <w:lvl w:ilvl="0" w:tentative="0">
      <w:start w:val="1"/>
      <w:numFmt w:val="decimal"/>
      <w:suff w:val="nothing"/>
      <w:lvlText w:val="%1、"/>
      <w:lvlJc w:val="left"/>
    </w:lvl>
  </w:abstractNum>
  <w:abstractNum w:abstractNumId="1">
    <w:nsid w:val="5C4C21CA"/>
    <w:multiLevelType w:val="multilevel"/>
    <w:tmpl w:val="5C4C21CA"/>
    <w:lvl w:ilvl="0" w:tentative="0">
      <w:start w:val="1"/>
      <w:numFmt w:val="chineseCountingThousand"/>
      <w:pStyle w:val="2"/>
      <w:lvlText w:val="%1、"/>
      <w:lvlJc w:val="left"/>
      <w:pPr>
        <w:ind w:left="0" w:firstLine="0"/>
      </w:pPr>
      <w:rPr>
        <w:rFonts w:hint="eastAsia"/>
        <w:lang w:val="en-US"/>
      </w:rPr>
    </w:lvl>
    <w:lvl w:ilvl="1" w:tentative="0">
      <w:start w:val="1"/>
      <w:numFmt w:val="decimal"/>
      <w:pStyle w:val="3"/>
      <w:isLgl/>
      <w:lvlText w:val="%1.%2、"/>
      <w:lvlJc w:val="left"/>
      <w:pPr>
        <w:ind w:left="0" w:firstLine="0"/>
      </w:pPr>
      <w:rPr>
        <w:rFonts w:hint="default" w:ascii="Times New Roman" w:hAnsi="Times New Roman" w:cs="Times New Roman"/>
        <w:b/>
        <w:bCs w:val="0"/>
        <w:i w:val="0"/>
        <w:iCs w:val="0"/>
        <w:caps w:val="0"/>
        <w:smallCaps w:val="0"/>
        <w:strike w:val="0"/>
        <w:dstrike w:val="0"/>
        <w:color w:val="000000"/>
        <w:spacing w:val="0"/>
        <w:position w:val="0"/>
        <w:u w:val="none"/>
      </w:rPr>
    </w:lvl>
    <w:lvl w:ilvl="2" w:tentative="0">
      <w:start w:val="1"/>
      <w:numFmt w:val="decimal"/>
      <w:pStyle w:val="4"/>
      <w:isLgl/>
      <w:lvlText w:val="%1.%2.%3、"/>
      <w:lvlJc w:val="left"/>
      <w:pPr>
        <w:ind w:left="283" w:firstLine="0"/>
      </w:pPr>
      <w:rPr>
        <w:rFonts w:hint="default" w:ascii="Times New Roman" w:hAnsi="Times New Roman" w:cs="Times New Roman"/>
        <w:b/>
        <w:i w:val="0"/>
      </w:rPr>
    </w:lvl>
    <w:lvl w:ilvl="3" w:tentative="0">
      <w:start w:val="1"/>
      <w:numFmt w:val="decimal"/>
      <w:pStyle w:val="5"/>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pStyle w:val="6"/>
      <w:isLgl/>
      <w:lvlText w:val="%1.%2.%3.%4.%5、"/>
      <w:lvlJc w:val="left"/>
      <w:pPr>
        <w:ind w:left="977" w:hanging="1008"/>
      </w:pPr>
      <w:rPr>
        <w:rFonts w:hint="eastAsia"/>
      </w:rPr>
    </w:lvl>
    <w:lvl w:ilvl="5" w:tentative="0">
      <w:start w:val="1"/>
      <w:numFmt w:val="decimal"/>
      <w:pStyle w:val="7"/>
      <w:isLgl/>
      <w:lvlText w:val="%1.%2.%3.%4.%5.%6、"/>
      <w:lvlJc w:val="left"/>
      <w:pPr>
        <w:ind w:left="1121" w:hanging="1152"/>
      </w:pPr>
      <w:rPr>
        <w:rFonts w:hint="eastAsia"/>
      </w:rPr>
    </w:lvl>
    <w:lvl w:ilvl="6" w:tentative="0">
      <w:start w:val="1"/>
      <w:numFmt w:val="decimal"/>
      <w:pStyle w:val="8"/>
      <w:lvlText w:val="%1.%2.%3.%4.%5.%6.%7"/>
      <w:lvlJc w:val="left"/>
      <w:pPr>
        <w:ind w:left="1265" w:hanging="1296"/>
      </w:pPr>
      <w:rPr>
        <w:rFonts w:hint="eastAsia"/>
      </w:rPr>
    </w:lvl>
    <w:lvl w:ilvl="7" w:tentative="0">
      <w:start w:val="1"/>
      <w:numFmt w:val="decimal"/>
      <w:pStyle w:val="9"/>
      <w:lvlText w:val="%1.%2.%3.%4.%5.%6.%7.%8"/>
      <w:lvlJc w:val="left"/>
      <w:pPr>
        <w:ind w:left="1409" w:hanging="1440"/>
      </w:pPr>
      <w:rPr>
        <w:rFonts w:hint="eastAsia"/>
      </w:rPr>
    </w:lvl>
    <w:lvl w:ilvl="8" w:tentative="0">
      <w:start w:val="1"/>
      <w:numFmt w:val="decimal"/>
      <w:pStyle w:val="10"/>
      <w:lvlText w:val="%1.%2.%3.%4.%5.%6.%7.%8.%9"/>
      <w:lvlJc w:val="left"/>
      <w:pPr>
        <w:ind w:left="1553"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zE0YzBhOTVhMjZmNmM5Y2RiZGY0MDJlMDNkZDcifQ=="/>
  </w:docVars>
  <w:rsids>
    <w:rsidRoot w:val="00BA0993"/>
    <w:rsid w:val="000046D5"/>
    <w:rsid w:val="000052CB"/>
    <w:rsid w:val="001532D9"/>
    <w:rsid w:val="001F6FD7"/>
    <w:rsid w:val="00235127"/>
    <w:rsid w:val="002637EC"/>
    <w:rsid w:val="00283EB1"/>
    <w:rsid w:val="002C5971"/>
    <w:rsid w:val="002E3440"/>
    <w:rsid w:val="002E40D6"/>
    <w:rsid w:val="00302FD9"/>
    <w:rsid w:val="00386048"/>
    <w:rsid w:val="003A2CC3"/>
    <w:rsid w:val="00406FED"/>
    <w:rsid w:val="004478DF"/>
    <w:rsid w:val="00467200"/>
    <w:rsid w:val="00493D5E"/>
    <w:rsid w:val="00496C6E"/>
    <w:rsid w:val="004B35EF"/>
    <w:rsid w:val="004F40D3"/>
    <w:rsid w:val="00502FEA"/>
    <w:rsid w:val="00503621"/>
    <w:rsid w:val="0051563B"/>
    <w:rsid w:val="005239EC"/>
    <w:rsid w:val="00570D01"/>
    <w:rsid w:val="005A44E9"/>
    <w:rsid w:val="005E236C"/>
    <w:rsid w:val="005E324C"/>
    <w:rsid w:val="005F6495"/>
    <w:rsid w:val="006020E3"/>
    <w:rsid w:val="0061221D"/>
    <w:rsid w:val="006153FE"/>
    <w:rsid w:val="00616905"/>
    <w:rsid w:val="00622C0E"/>
    <w:rsid w:val="0067773A"/>
    <w:rsid w:val="006C3458"/>
    <w:rsid w:val="006F2E40"/>
    <w:rsid w:val="00700572"/>
    <w:rsid w:val="00755B02"/>
    <w:rsid w:val="00767334"/>
    <w:rsid w:val="00771E91"/>
    <w:rsid w:val="00772754"/>
    <w:rsid w:val="00780120"/>
    <w:rsid w:val="00794F24"/>
    <w:rsid w:val="007A7805"/>
    <w:rsid w:val="007B6FE6"/>
    <w:rsid w:val="007C337E"/>
    <w:rsid w:val="00821840"/>
    <w:rsid w:val="008663CB"/>
    <w:rsid w:val="008F6C28"/>
    <w:rsid w:val="00987C50"/>
    <w:rsid w:val="00994B8A"/>
    <w:rsid w:val="009A74B5"/>
    <w:rsid w:val="009B79B5"/>
    <w:rsid w:val="00A55940"/>
    <w:rsid w:val="00A66E7C"/>
    <w:rsid w:val="00A83A59"/>
    <w:rsid w:val="00A96627"/>
    <w:rsid w:val="00AE3C1E"/>
    <w:rsid w:val="00B76859"/>
    <w:rsid w:val="00B837B7"/>
    <w:rsid w:val="00BA0993"/>
    <w:rsid w:val="00BD44D3"/>
    <w:rsid w:val="00C06C88"/>
    <w:rsid w:val="00C21785"/>
    <w:rsid w:val="00C707B8"/>
    <w:rsid w:val="00C87F0F"/>
    <w:rsid w:val="00D07F17"/>
    <w:rsid w:val="00D23CC5"/>
    <w:rsid w:val="00D31C58"/>
    <w:rsid w:val="00D71AC4"/>
    <w:rsid w:val="00D73FF0"/>
    <w:rsid w:val="00D779B5"/>
    <w:rsid w:val="00D93D22"/>
    <w:rsid w:val="00DC727E"/>
    <w:rsid w:val="00E12683"/>
    <w:rsid w:val="00E468E3"/>
    <w:rsid w:val="00E60268"/>
    <w:rsid w:val="00E62021"/>
    <w:rsid w:val="00EB6EA2"/>
    <w:rsid w:val="00EF6A2C"/>
    <w:rsid w:val="00F47AA6"/>
    <w:rsid w:val="00F6453A"/>
    <w:rsid w:val="00F76951"/>
    <w:rsid w:val="00FB412A"/>
    <w:rsid w:val="00FC1842"/>
    <w:rsid w:val="00FD6194"/>
    <w:rsid w:val="018450D5"/>
    <w:rsid w:val="01AA68AB"/>
    <w:rsid w:val="01E427B1"/>
    <w:rsid w:val="027B7963"/>
    <w:rsid w:val="02F00A18"/>
    <w:rsid w:val="036E6466"/>
    <w:rsid w:val="04673D9F"/>
    <w:rsid w:val="04D42AAB"/>
    <w:rsid w:val="04E76AA6"/>
    <w:rsid w:val="050A1B0F"/>
    <w:rsid w:val="05A42949"/>
    <w:rsid w:val="06695AAF"/>
    <w:rsid w:val="07AC1F33"/>
    <w:rsid w:val="07C10826"/>
    <w:rsid w:val="088E2A01"/>
    <w:rsid w:val="08C6543B"/>
    <w:rsid w:val="08D15B8E"/>
    <w:rsid w:val="08F40027"/>
    <w:rsid w:val="096841CA"/>
    <w:rsid w:val="097B0B7E"/>
    <w:rsid w:val="09BF339B"/>
    <w:rsid w:val="09CE4F7E"/>
    <w:rsid w:val="0A61573C"/>
    <w:rsid w:val="0AAE5D6B"/>
    <w:rsid w:val="0B666A61"/>
    <w:rsid w:val="0BC3400A"/>
    <w:rsid w:val="0DB9182E"/>
    <w:rsid w:val="0E5A2621"/>
    <w:rsid w:val="0EC55E01"/>
    <w:rsid w:val="0F2A0D9B"/>
    <w:rsid w:val="0F9A13CF"/>
    <w:rsid w:val="10DC63C8"/>
    <w:rsid w:val="11A46C3F"/>
    <w:rsid w:val="11F71000"/>
    <w:rsid w:val="122160E2"/>
    <w:rsid w:val="12731B93"/>
    <w:rsid w:val="12BF3465"/>
    <w:rsid w:val="12E84200"/>
    <w:rsid w:val="134162ED"/>
    <w:rsid w:val="1378002E"/>
    <w:rsid w:val="137B00F0"/>
    <w:rsid w:val="14F74BCE"/>
    <w:rsid w:val="150C7E6E"/>
    <w:rsid w:val="150F3DEE"/>
    <w:rsid w:val="15DC4F2E"/>
    <w:rsid w:val="162A59B3"/>
    <w:rsid w:val="17326391"/>
    <w:rsid w:val="17393F01"/>
    <w:rsid w:val="176C7E2C"/>
    <w:rsid w:val="17783D91"/>
    <w:rsid w:val="179E7916"/>
    <w:rsid w:val="17F65355"/>
    <w:rsid w:val="185F31B6"/>
    <w:rsid w:val="19DE58E2"/>
    <w:rsid w:val="19E51027"/>
    <w:rsid w:val="1A4160EC"/>
    <w:rsid w:val="1AA17E76"/>
    <w:rsid w:val="1AE6564F"/>
    <w:rsid w:val="1AE84BE7"/>
    <w:rsid w:val="1BCB46BE"/>
    <w:rsid w:val="1C093B64"/>
    <w:rsid w:val="1D653086"/>
    <w:rsid w:val="1DCA6AD1"/>
    <w:rsid w:val="1DEC19AA"/>
    <w:rsid w:val="1E1F2543"/>
    <w:rsid w:val="1E8A4908"/>
    <w:rsid w:val="1E905823"/>
    <w:rsid w:val="1EC85837"/>
    <w:rsid w:val="1F122222"/>
    <w:rsid w:val="1F2160C4"/>
    <w:rsid w:val="1F4F4BD2"/>
    <w:rsid w:val="1F6249DA"/>
    <w:rsid w:val="20672E48"/>
    <w:rsid w:val="20922D77"/>
    <w:rsid w:val="20C413FA"/>
    <w:rsid w:val="22006BEB"/>
    <w:rsid w:val="220D4DD5"/>
    <w:rsid w:val="22911B36"/>
    <w:rsid w:val="22A9639D"/>
    <w:rsid w:val="23053D5B"/>
    <w:rsid w:val="237B34F9"/>
    <w:rsid w:val="23847F75"/>
    <w:rsid w:val="23A75A11"/>
    <w:rsid w:val="24D52D2B"/>
    <w:rsid w:val="25077338"/>
    <w:rsid w:val="25287DC2"/>
    <w:rsid w:val="25FA0F65"/>
    <w:rsid w:val="26161BA2"/>
    <w:rsid w:val="278D4EE0"/>
    <w:rsid w:val="27DB17FB"/>
    <w:rsid w:val="287A5E0A"/>
    <w:rsid w:val="287B3BA1"/>
    <w:rsid w:val="28EC7EDD"/>
    <w:rsid w:val="29997253"/>
    <w:rsid w:val="29A206EB"/>
    <w:rsid w:val="29A3473A"/>
    <w:rsid w:val="29E50B49"/>
    <w:rsid w:val="2A292B3C"/>
    <w:rsid w:val="2A5C3A3B"/>
    <w:rsid w:val="2A7B602E"/>
    <w:rsid w:val="2BE36C60"/>
    <w:rsid w:val="2C32033A"/>
    <w:rsid w:val="2D2D2B9A"/>
    <w:rsid w:val="2D4A4337"/>
    <w:rsid w:val="2E8452CD"/>
    <w:rsid w:val="2EFA0ABB"/>
    <w:rsid w:val="2F67A09A"/>
    <w:rsid w:val="2F6C3721"/>
    <w:rsid w:val="3034062C"/>
    <w:rsid w:val="30B40786"/>
    <w:rsid w:val="3134176A"/>
    <w:rsid w:val="31D67BED"/>
    <w:rsid w:val="331E21EA"/>
    <w:rsid w:val="33923056"/>
    <w:rsid w:val="33F50B9C"/>
    <w:rsid w:val="34A53446"/>
    <w:rsid w:val="34AA2E47"/>
    <w:rsid w:val="350F73E8"/>
    <w:rsid w:val="352A2B85"/>
    <w:rsid w:val="361C5DEB"/>
    <w:rsid w:val="36A64356"/>
    <w:rsid w:val="37246325"/>
    <w:rsid w:val="37555A58"/>
    <w:rsid w:val="38354AF1"/>
    <w:rsid w:val="384B1867"/>
    <w:rsid w:val="39924114"/>
    <w:rsid w:val="3AC45E72"/>
    <w:rsid w:val="3B131AD2"/>
    <w:rsid w:val="3B8E3258"/>
    <w:rsid w:val="3C5A58BF"/>
    <w:rsid w:val="3CA7071D"/>
    <w:rsid w:val="3D2F3AC6"/>
    <w:rsid w:val="3DC81C9F"/>
    <w:rsid w:val="3EA64DEB"/>
    <w:rsid w:val="3F1461F9"/>
    <w:rsid w:val="3F9D075F"/>
    <w:rsid w:val="3FC32503"/>
    <w:rsid w:val="3FDF2363"/>
    <w:rsid w:val="3FF78EA6"/>
    <w:rsid w:val="40391F9E"/>
    <w:rsid w:val="40402241"/>
    <w:rsid w:val="40B33254"/>
    <w:rsid w:val="431D6C83"/>
    <w:rsid w:val="43D27C0E"/>
    <w:rsid w:val="4424314A"/>
    <w:rsid w:val="44C804A0"/>
    <w:rsid w:val="44D01E0B"/>
    <w:rsid w:val="44D501D8"/>
    <w:rsid w:val="45AC03F8"/>
    <w:rsid w:val="4637481C"/>
    <w:rsid w:val="46ED3615"/>
    <w:rsid w:val="47535F40"/>
    <w:rsid w:val="4AC93C9B"/>
    <w:rsid w:val="4B057175"/>
    <w:rsid w:val="4B1959DE"/>
    <w:rsid w:val="4B6862DE"/>
    <w:rsid w:val="4B7414DB"/>
    <w:rsid w:val="4BD27220"/>
    <w:rsid w:val="4C7C718B"/>
    <w:rsid w:val="4C937A8D"/>
    <w:rsid w:val="50C57353"/>
    <w:rsid w:val="50CC3BF1"/>
    <w:rsid w:val="526002F2"/>
    <w:rsid w:val="5264494A"/>
    <w:rsid w:val="527B23BF"/>
    <w:rsid w:val="52C16754"/>
    <w:rsid w:val="533D58C6"/>
    <w:rsid w:val="5380356D"/>
    <w:rsid w:val="53D37FD9"/>
    <w:rsid w:val="54D35C1C"/>
    <w:rsid w:val="551C3527"/>
    <w:rsid w:val="55721B0D"/>
    <w:rsid w:val="55896605"/>
    <w:rsid w:val="55C922F7"/>
    <w:rsid w:val="55D62E59"/>
    <w:rsid w:val="55E069DD"/>
    <w:rsid w:val="573B4C37"/>
    <w:rsid w:val="57E9601D"/>
    <w:rsid w:val="57ED7E5A"/>
    <w:rsid w:val="585777DA"/>
    <w:rsid w:val="585D4315"/>
    <w:rsid w:val="588D679B"/>
    <w:rsid w:val="58A87D16"/>
    <w:rsid w:val="58B44FC5"/>
    <w:rsid w:val="598558D1"/>
    <w:rsid w:val="59B2376B"/>
    <w:rsid w:val="5BAF529E"/>
    <w:rsid w:val="5C865BB4"/>
    <w:rsid w:val="5E466598"/>
    <w:rsid w:val="5F1B0EDC"/>
    <w:rsid w:val="6164600B"/>
    <w:rsid w:val="61AD3862"/>
    <w:rsid w:val="61EF3877"/>
    <w:rsid w:val="623F04BA"/>
    <w:rsid w:val="62C51434"/>
    <w:rsid w:val="632B4938"/>
    <w:rsid w:val="63491625"/>
    <w:rsid w:val="635C72F0"/>
    <w:rsid w:val="63A82B58"/>
    <w:rsid w:val="645C7B76"/>
    <w:rsid w:val="646F64A9"/>
    <w:rsid w:val="64752769"/>
    <w:rsid w:val="662B15F7"/>
    <w:rsid w:val="664A6B87"/>
    <w:rsid w:val="66F54F23"/>
    <w:rsid w:val="670F364C"/>
    <w:rsid w:val="678F628F"/>
    <w:rsid w:val="67A5489B"/>
    <w:rsid w:val="67A91A84"/>
    <w:rsid w:val="67DE9D89"/>
    <w:rsid w:val="67E647BE"/>
    <w:rsid w:val="683A4C5D"/>
    <w:rsid w:val="686A05B3"/>
    <w:rsid w:val="686F0B55"/>
    <w:rsid w:val="689F5DD7"/>
    <w:rsid w:val="696F20FA"/>
    <w:rsid w:val="697B1C0E"/>
    <w:rsid w:val="69871669"/>
    <w:rsid w:val="69B8584F"/>
    <w:rsid w:val="69BA1B42"/>
    <w:rsid w:val="69D022AC"/>
    <w:rsid w:val="69D60E81"/>
    <w:rsid w:val="6A076735"/>
    <w:rsid w:val="6A3223D6"/>
    <w:rsid w:val="6A3749C6"/>
    <w:rsid w:val="6A3D3FA6"/>
    <w:rsid w:val="6AFC3B0D"/>
    <w:rsid w:val="6B3477C6"/>
    <w:rsid w:val="6B43383E"/>
    <w:rsid w:val="6B9076FC"/>
    <w:rsid w:val="6CBA4EC0"/>
    <w:rsid w:val="6E8E44F0"/>
    <w:rsid w:val="6F5E2595"/>
    <w:rsid w:val="7016268B"/>
    <w:rsid w:val="70C94161"/>
    <w:rsid w:val="70DA60AB"/>
    <w:rsid w:val="70FA2079"/>
    <w:rsid w:val="72021D5D"/>
    <w:rsid w:val="72E621AC"/>
    <w:rsid w:val="72F145D4"/>
    <w:rsid w:val="737C78ED"/>
    <w:rsid w:val="74845C34"/>
    <w:rsid w:val="74FF07D6"/>
    <w:rsid w:val="756D5397"/>
    <w:rsid w:val="75901E34"/>
    <w:rsid w:val="75AF3FAA"/>
    <w:rsid w:val="76F361FD"/>
    <w:rsid w:val="77495B6E"/>
    <w:rsid w:val="77710C55"/>
    <w:rsid w:val="78194573"/>
    <w:rsid w:val="786B44CE"/>
    <w:rsid w:val="78F06C72"/>
    <w:rsid w:val="791A5BDE"/>
    <w:rsid w:val="79835BAD"/>
    <w:rsid w:val="7BA27DC6"/>
    <w:rsid w:val="7C705B15"/>
    <w:rsid w:val="7E0B727F"/>
    <w:rsid w:val="7E0D783A"/>
    <w:rsid w:val="7E5F06CE"/>
    <w:rsid w:val="7F3D4D8D"/>
    <w:rsid w:val="7F8871BD"/>
    <w:rsid w:val="7F9E2466"/>
    <w:rsid w:val="7FBEB1A0"/>
    <w:rsid w:val="7FFD471D"/>
    <w:rsid w:val="DE518EB0"/>
    <w:rsid w:val="DF7E3558"/>
    <w:rsid w:val="FB9ED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5"/>
    <w:qFormat/>
    <w:uiPriority w:val="0"/>
    <w:pPr>
      <w:keepNext/>
      <w:keepLines/>
      <w:numPr>
        <w:ilvl w:val="0"/>
        <w:numId w:val="1"/>
      </w:numPr>
      <w:tabs>
        <w:tab w:val="left" w:pos="425"/>
      </w:tabs>
      <w:spacing w:before="120" w:after="120" w:line="360" w:lineRule="auto"/>
      <w:outlineLvl w:val="0"/>
    </w:pPr>
    <w:rPr>
      <w:rFonts w:ascii="Times New Roman" w:hAnsi="Times New Roman" w:eastAsia="宋体" w:cs="Times New Roman"/>
      <w:b/>
      <w:bCs/>
      <w:kern w:val="44"/>
      <w:sz w:val="32"/>
      <w:szCs w:val="28"/>
    </w:rPr>
  </w:style>
  <w:style w:type="paragraph" w:styleId="3">
    <w:name w:val="heading 2"/>
    <w:basedOn w:val="4"/>
    <w:next w:val="1"/>
    <w:link w:val="36"/>
    <w:qFormat/>
    <w:uiPriority w:val="0"/>
    <w:pPr>
      <w:numPr>
        <w:ilvl w:val="1"/>
      </w:numPr>
      <w:tabs>
        <w:tab w:val="left" w:pos="567"/>
      </w:tabs>
      <w:outlineLvl w:val="1"/>
    </w:pPr>
    <w:rPr>
      <w:sz w:val="30"/>
    </w:rPr>
  </w:style>
  <w:style w:type="paragraph" w:styleId="4">
    <w:name w:val="heading 3"/>
    <w:basedOn w:val="1"/>
    <w:next w:val="1"/>
    <w:link w:val="37"/>
    <w:qFormat/>
    <w:uiPriority w:val="0"/>
    <w:pPr>
      <w:keepNext/>
      <w:keepLines/>
      <w:numPr>
        <w:ilvl w:val="2"/>
        <w:numId w:val="1"/>
      </w:numPr>
      <w:tabs>
        <w:tab w:val="left" w:pos="567"/>
      </w:tabs>
      <w:outlineLvl w:val="2"/>
    </w:pPr>
    <w:rPr>
      <w:rFonts w:ascii="Times New Roman" w:hAnsi="Times New Roman" w:eastAsia="宋体" w:cs="Times New Roman"/>
      <w:b/>
      <w:bCs/>
      <w:sz w:val="28"/>
      <w:szCs w:val="18"/>
    </w:rPr>
  </w:style>
  <w:style w:type="paragraph" w:styleId="5">
    <w:name w:val="heading 4"/>
    <w:basedOn w:val="1"/>
    <w:next w:val="1"/>
    <w:link w:val="38"/>
    <w:qFormat/>
    <w:uiPriority w:val="0"/>
    <w:pPr>
      <w:keepNext/>
      <w:keepLines/>
      <w:numPr>
        <w:ilvl w:val="3"/>
        <w:numId w:val="1"/>
      </w:numPr>
      <w:tabs>
        <w:tab w:val="left" w:pos="504"/>
      </w:tabs>
      <w:spacing w:before="120" w:after="120" w:line="360" w:lineRule="auto"/>
      <w:jc w:val="left"/>
      <w:outlineLvl w:val="3"/>
    </w:pPr>
    <w:rPr>
      <w:rFonts w:ascii="Times New Roman" w:hAnsi="Arial" w:eastAsia="宋体" w:cs="Times New Roman"/>
      <w:b/>
      <w:bCs/>
      <w:szCs w:val="28"/>
    </w:rPr>
  </w:style>
  <w:style w:type="paragraph" w:styleId="6">
    <w:name w:val="heading 5"/>
    <w:basedOn w:val="1"/>
    <w:next w:val="1"/>
    <w:link w:val="39"/>
    <w:qFormat/>
    <w:uiPriority w:val="0"/>
    <w:pPr>
      <w:keepNext/>
      <w:keepLines/>
      <w:numPr>
        <w:ilvl w:val="4"/>
        <w:numId w:val="1"/>
      </w:numPr>
      <w:spacing w:before="280" w:after="290" w:line="372" w:lineRule="auto"/>
      <w:ind w:firstLine="0"/>
      <w:jc w:val="left"/>
      <w:outlineLvl w:val="4"/>
    </w:pPr>
    <w:rPr>
      <w:rFonts w:ascii="Times New Roman" w:hAnsi="Times New Roman" w:eastAsia="宋体" w:cs="Times New Roman"/>
      <w:b/>
      <w:bCs/>
      <w:sz w:val="28"/>
      <w:szCs w:val="28"/>
    </w:rPr>
  </w:style>
  <w:style w:type="paragraph" w:styleId="7">
    <w:name w:val="heading 6"/>
    <w:basedOn w:val="6"/>
    <w:next w:val="1"/>
    <w:link w:val="40"/>
    <w:qFormat/>
    <w:uiPriority w:val="0"/>
    <w:pPr>
      <w:numPr>
        <w:ilvl w:val="5"/>
      </w:numPr>
      <w:tabs>
        <w:tab w:val="left" w:pos="1440"/>
      </w:tabs>
      <w:spacing w:before="260" w:after="260" w:line="360" w:lineRule="auto"/>
      <w:outlineLvl w:val="5"/>
    </w:pPr>
    <w:rPr>
      <w:sz w:val="30"/>
      <w:szCs w:val="18"/>
    </w:rPr>
  </w:style>
  <w:style w:type="paragraph" w:styleId="8">
    <w:name w:val="heading 7"/>
    <w:basedOn w:val="7"/>
    <w:next w:val="1"/>
    <w:link w:val="41"/>
    <w:qFormat/>
    <w:uiPriority w:val="0"/>
    <w:pPr>
      <w:numPr>
        <w:ilvl w:val="6"/>
      </w:numPr>
      <w:tabs>
        <w:tab w:val="left" w:pos="1800"/>
        <w:tab w:val="clear" w:pos="1440"/>
      </w:tabs>
      <w:outlineLvl w:val="6"/>
    </w:pPr>
  </w:style>
  <w:style w:type="paragraph" w:styleId="9">
    <w:name w:val="heading 8"/>
    <w:basedOn w:val="8"/>
    <w:next w:val="1"/>
    <w:link w:val="42"/>
    <w:qFormat/>
    <w:uiPriority w:val="0"/>
    <w:pPr>
      <w:numPr>
        <w:ilvl w:val="7"/>
      </w:numPr>
      <w:outlineLvl w:val="7"/>
    </w:pPr>
  </w:style>
  <w:style w:type="paragraph" w:styleId="10">
    <w:name w:val="heading 9"/>
    <w:basedOn w:val="9"/>
    <w:next w:val="1"/>
    <w:link w:val="43"/>
    <w:qFormat/>
    <w:uiPriority w:val="0"/>
    <w:pPr>
      <w:numPr>
        <w:ilvl w:val="8"/>
      </w:numPr>
      <w:tabs>
        <w:tab w:val="left" w:pos="2160"/>
        <w:tab w:val="clear" w:pos="1800"/>
      </w:tabs>
      <w:outlineLvl w:val="8"/>
    </w:p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toc 3"/>
    <w:basedOn w:val="1"/>
    <w:next w:val="1"/>
    <w:semiHidden/>
    <w:unhideWhenUsed/>
    <w:qFormat/>
    <w:uiPriority w:val="39"/>
    <w:pPr>
      <w:ind w:left="840" w:leftChars="400"/>
    </w:pPr>
  </w:style>
  <w:style w:type="paragraph" w:styleId="13">
    <w:name w:val="Balloon Text"/>
    <w:basedOn w:val="1"/>
    <w:link w:val="34"/>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character" w:styleId="20">
    <w:name w:val="Strong"/>
    <w:basedOn w:val="19"/>
    <w:qFormat/>
    <w:uiPriority w:val="22"/>
    <w:rPr>
      <w:b/>
    </w:rPr>
  </w:style>
  <w:style w:type="character" w:styleId="21">
    <w:name w:val="FollowedHyperlink"/>
    <w:basedOn w:val="19"/>
    <w:unhideWhenUsed/>
    <w:qFormat/>
    <w:uiPriority w:val="99"/>
    <w:rPr>
      <w:color w:val="800080"/>
      <w:u w:val="none"/>
    </w:rPr>
  </w:style>
  <w:style w:type="character" w:styleId="22">
    <w:name w:val="Emphasis"/>
    <w:basedOn w:val="19"/>
    <w:qFormat/>
    <w:uiPriority w:val="20"/>
    <w:rPr>
      <w:rFonts w:ascii="ActionIcon ! important" w:hAnsi="ActionIcon ! important" w:eastAsia="ActionIcon ! important" w:cs="ActionIcon ! important"/>
      <w:b/>
      <w:vanish/>
      <w:color w:val="3D4B62"/>
      <w:sz w:val="24"/>
      <w:szCs w:val="24"/>
    </w:rPr>
  </w:style>
  <w:style w:type="character" w:styleId="23">
    <w:name w:val="HTML Definition"/>
    <w:basedOn w:val="19"/>
    <w:unhideWhenUsed/>
    <w:qFormat/>
    <w:uiPriority w:val="99"/>
  </w:style>
  <w:style w:type="character" w:styleId="24">
    <w:name w:val="HTML Typewriter"/>
    <w:basedOn w:val="19"/>
    <w:unhideWhenUsed/>
    <w:qFormat/>
    <w:uiPriority w:val="99"/>
    <w:rPr>
      <w:rFonts w:hint="default" w:ascii="monospace" w:hAnsi="monospace" w:eastAsia="monospace" w:cs="monospace"/>
      <w:sz w:val="20"/>
    </w:rPr>
  </w:style>
  <w:style w:type="character" w:styleId="25">
    <w:name w:val="HTML Acronym"/>
    <w:basedOn w:val="19"/>
    <w:unhideWhenUsed/>
    <w:qFormat/>
    <w:uiPriority w:val="99"/>
  </w:style>
  <w:style w:type="character" w:styleId="26">
    <w:name w:val="HTML Variable"/>
    <w:basedOn w:val="19"/>
    <w:unhideWhenUsed/>
    <w:qFormat/>
    <w:uiPriority w:val="99"/>
  </w:style>
  <w:style w:type="character" w:styleId="27">
    <w:name w:val="Hyperlink"/>
    <w:basedOn w:val="19"/>
    <w:qFormat/>
    <w:uiPriority w:val="99"/>
    <w:rPr>
      <w:color w:val="0000FF"/>
      <w:u w:val="single"/>
    </w:rPr>
  </w:style>
  <w:style w:type="character" w:styleId="28">
    <w:name w:val="HTML Code"/>
    <w:basedOn w:val="19"/>
    <w:unhideWhenUsed/>
    <w:qFormat/>
    <w:uiPriority w:val="99"/>
    <w:rPr>
      <w:rFonts w:ascii="monospace" w:hAnsi="monospace" w:eastAsia="monospace" w:cs="monospace"/>
      <w:sz w:val="20"/>
    </w:rPr>
  </w:style>
  <w:style w:type="character" w:styleId="29">
    <w:name w:val="HTML Cite"/>
    <w:basedOn w:val="19"/>
    <w:unhideWhenUsed/>
    <w:qFormat/>
    <w:uiPriority w:val="99"/>
  </w:style>
  <w:style w:type="character" w:styleId="30">
    <w:name w:val="HTML Keyboard"/>
    <w:basedOn w:val="19"/>
    <w:unhideWhenUsed/>
    <w:qFormat/>
    <w:uiPriority w:val="99"/>
    <w:rPr>
      <w:rFonts w:hint="default" w:ascii="monospace" w:hAnsi="monospace" w:eastAsia="monospace" w:cs="monospace"/>
      <w:sz w:val="20"/>
    </w:rPr>
  </w:style>
  <w:style w:type="character" w:styleId="31">
    <w:name w:val="HTML Sample"/>
    <w:basedOn w:val="19"/>
    <w:unhideWhenUsed/>
    <w:qFormat/>
    <w:uiPriority w:val="99"/>
    <w:rPr>
      <w:rFonts w:hint="default" w:ascii="monospace" w:hAnsi="monospace" w:eastAsia="monospace" w:cs="monospace"/>
    </w:rPr>
  </w:style>
  <w:style w:type="character" w:customStyle="1" w:styleId="32">
    <w:name w:val="页眉 Char"/>
    <w:basedOn w:val="19"/>
    <w:link w:val="15"/>
    <w:qFormat/>
    <w:uiPriority w:val="99"/>
    <w:rPr>
      <w:sz w:val="18"/>
      <w:szCs w:val="18"/>
    </w:rPr>
  </w:style>
  <w:style w:type="character" w:customStyle="1" w:styleId="33">
    <w:name w:val="页脚 Char"/>
    <w:basedOn w:val="19"/>
    <w:link w:val="14"/>
    <w:qFormat/>
    <w:uiPriority w:val="99"/>
    <w:rPr>
      <w:sz w:val="18"/>
      <w:szCs w:val="18"/>
    </w:rPr>
  </w:style>
  <w:style w:type="character" w:customStyle="1" w:styleId="34">
    <w:name w:val="批注框文本 Char"/>
    <w:basedOn w:val="19"/>
    <w:link w:val="13"/>
    <w:semiHidden/>
    <w:qFormat/>
    <w:uiPriority w:val="99"/>
    <w:rPr>
      <w:sz w:val="18"/>
      <w:szCs w:val="18"/>
    </w:rPr>
  </w:style>
  <w:style w:type="character" w:customStyle="1" w:styleId="35">
    <w:name w:val="标题 1 Char"/>
    <w:basedOn w:val="19"/>
    <w:link w:val="2"/>
    <w:qFormat/>
    <w:uiPriority w:val="0"/>
    <w:rPr>
      <w:rFonts w:ascii="Times New Roman" w:hAnsi="Times New Roman" w:eastAsia="宋体" w:cs="Times New Roman"/>
      <w:b/>
      <w:bCs/>
      <w:kern w:val="44"/>
      <w:sz w:val="32"/>
      <w:szCs w:val="28"/>
    </w:rPr>
  </w:style>
  <w:style w:type="character" w:customStyle="1" w:styleId="36">
    <w:name w:val="标题 2 Char"/>
    <w:basedOn w:val="19"/>
    <w:link w:val="3"/>
    <w:qFormat/>
    <w:uiPriority w:val="0"/>
    <w:rPr>
      <w:rFonts w:ascii="Times New Roman" w:hAnsi="Times New Roman" w:eastAsia="宋体" w:cs="Times New Roman"/>
      <w:b/>
      <w:bCs/>
      <w:sz w:val="30"/>
      <w:szCs w:val="18"/>
    </w:rPr>
  </w:style>
  <w:style w:type="character" w:customStyle="1" w:styleId="37">
    <w:name w:val="标题 3 Char"/>
    <w:basedOn w:val="19"/>
    <w:link w:val="4"/>
    <w:qFormat/>
    <w:uiPriority w:val="0"/>
    <w:rPr>
      <w:rFonts w:ascii="Times New Roman" w:hAnsi="Times New Roman" w:eastAsia="宋体" w:cs="Times New Roman"/>
      <w:b/>
      <w:bCs/>
      <w:sz w:val="28"/>
      <w:szCs w:val="18"/>
    </w:rPr>
  </w:style>
  <w:style w:type="character" w:customStyle="1" w:styleId="38">
    <w:name w:val="标题 4 Char"/>
    <w:basedOn w:val="19"/>
    <w:link w:val="5"/>
    <w:qFormat/>
    <w:uiPriority w:val="0"/>
    <w:rPr>
      <w:rFonts w:ascii="Times New Roman" w:hAnsi="Arial" w:eastAsia="宋体" w:cs="Times New Roman"/>
      <w:b/>
      <w:bCs/>
      <w:sz w:val="24"/>
      <w:szCs w:val="28"/>
    </w:rPr>
  </w:style>
  <w:style w:type="character" w:customStyle="1" w:styleId="39">
    <w:name w:val="标题 5 Char"/>
    <w:basedOn w:val="19"/>
    <w:link w:val="6"/>
    <w:qFormat/>
    <w:uiPriority w:val="0"/>
    <w:rPr>
      <w:rFonts w:ascii="Times New Roman" w:hAnsi="Times New Roman" w:eastAsia="宋体" w:cs="Times New Roman"/>
      <w:b/>
      <w:bCs/>
      <w:sz w:val="28"/>
      <w:szCs w:val="28"/>
    </w:rPr>
  </w:style>
  <w:style w:type="character" w:customStyle="1" w:styleId="40">
    <w:name w:val="标题 6 Char"/>
    <w:basedOn w:val="19"/>
    <w:link w:val="7"/>
    <w:qFormat/>
    <w:uiPriority w:val="0"/>
    <w:rPr>
      <w:rFonts w:ascii="Times New Roman" w:hAnsi="Times New Roman" w:eastAsia="宋体" w:cs="Times New Roman"/>
      <w:b/>
      <w:bCs/>
      <w:sz w:val="30"/>
      <w:szCs w:val="18"/>
    </w:rPr>
  </w:style>
  <w:style w:type="character" w:customStyle="1" w:styleId="41">
    <w:name w:val="标题 7 Char"/>
    <w:basedOn w:val="19"/>
    <w:link w:val="8"/>
    <w:qFormat/>
    <w:uiPriority w:val="0"/>
    <w:rPr>
      <w:rFonts w:ascii="Times New Roman" w:hAnsi="Times New Roman" w:eastAsia="宋体" w:cs="Times New Roman"/>
      <w:b/>
      <w:bCs/>
      <w:sz w:val="30"/>
      <w:szCs w:val="18"/>
    </w:rPr>
  </w:style>
  <w:style w:type="character" w:customStyle="1" w:styleId="42">
    <w:name w:val="标题 8 Char"/>
    <w:basedOn w:val="19"/>
    <w:link w:val="9"/>
    <w:qFormat/>
    <w:uiPriority w:val="0"/>
    <w:rPr>
      <w:rFonts w:ascii="Times New Roman" w:hAnsi="Times New Roman" w:eastAsia="宋体" w:cs="Times New Roman"/>
      <w:b/>
      <w:bCs/>
      <w:sz w:val="30"/>
      <w:szCs w:val="18"/>
    </w:rPr>
  </w:style>
  <w:style w:type="character" w:customStyle="1" w:styleId="43">
    <w:name w:val="标题 9 Char"/>
    <w:basedOn w:val="19"/>
    <w:link w:val="10"/>
    <w:qFormat/>
    <w:uiPriority w:val="0"/>
    <w:rPr>
      <w:rFonts w:ascii="Times New Roman" w:hAnsi="Times New Roman" w:eastAsia="宋体" w:cs="Times New Roman"/>
      <w:b/>
      <w:bCs/>
      <w:sz w:val="30"/>
      <w:szCs w:val="18"/>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934</Words>
  <Characters>5325</Characters>
  <Lines>44</Lines>
  <Paragraphs>12</Paragraphs>
  <TotalTime>1</TotalTime>
  <ScaleCrop>false</ScaleCrop>
  <LinksUpToDate>false</LinksUpToDate>
  <CharactersWithSpaces>6247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2017-09-26T10:32:00Z</dcterms:created>
  <dc:creator>陈琼</dc:creator>
  <cp:lastModifiedBy>jyzx</cp:lastModifiedBy>
  <dcterms:modified xsi:type="dcterms:W3CDTF">2023-08-04T15:12:27Z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DEA35A91E4F742E7ACE699C8BAA239AC_13</vt:lpwstr>
  </property>
</Properties>
</file>