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5271135" cy="1755140"/>
            <wp:effectExtent l="0" t="0" r="5715" b="16510"/>
            <wp:docPr id="3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2" name="图片 2"/>
                    <pic:cNvPicPr>
                      <a:picLocks noChangeAspect="true"/>
                    </pic:cNvPicPr>
                  </pic:nvPicPr>
                  <pic:blipFill>
                    <a:blip r:embed="rId6"/>
                    <a:stretch>
                      <a:fillRect/>
                    </a:stretch>
                  </pic:blipFill>
                  <pic:spPr>
                    <a:xfrm>
                      <a:off x="0" y="0"/>
                      <a:ext cx="5271135" cy="1755140"/>
                    </a:xfrm>
                    <a:prstGeom prst="rect">
                      <a:avLst/>
                    </a:prstGeom>
                    <a:noFill/>
                    <a:ln>
                      <a:noFill/>
                    </a:ln>
                  </pic:spPr>
                </pic:pic>
              </a:graphicData>
            </a:graphic>
          </wp:inline>
        </w:drawing>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b/>
          <w:color w:val="000000" w:themeColor="text1"/>
          <w:sz w:val="32"/>
          <w:szCs w:val="32"/>
          <w14:textFill>
            <w14:solidFill>
              <w14:schemeClr w14:val="tx1"/>
            </w14:solidFill>
          </w14:textFill>
        </w:rPr>
      </w:pPr>
    </w:p>
    <w:p>
      <w:pPr>
        <w:jc w:val="center"/>
        <w:rPr>
          <w:rFonts w:ascii="宋体" w:hAnsi="宋体" w:eastAsia="宋体" w:cs="宋体"/>
          <w:b/>
          <w:bCs/>
          <w:color w:val="000000" w:themeColor="text1"/>
          <w:sz w:val="32"/>
          <w:szCs w:val="32"/>
          <w14:textFill>
            <w14:solidFill>
              <w14:schemeClr w14:val="tx1"/>
            </w14:solidFill>
          </w14:textFill>
        </w:rPr>
      </w:pPr>
      <w:bookmarkStart w:id="0" w:name="_Toc5218"/>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0"/>
        <w:rPr>
          <w:rFonts w:hint="eastAsia" w:ascii="方正小标宋简体" w:hAnsi="方正小标宋简体" w:eastAsia="方正小标宋简体" w:cs="方正小标宋简体"/>
          <w:b w:val="0"/>
          <w:bCs/>
          <w:sz w:val="48"/>
          <w:szCs w:val="48"/>
          <w:lang w:eastAsia="zh-CN"/>
        </w:rPr>
      </w:pPr>
      <w:bookmarkStart w:id="1" w:name="_Toc303592770"/>
      <w:bookmarkStart w:id="2" w:name="_Toc1426818933"/>
      <w:bookmarkStart w:id="3" w:name="_Toc1670175696"/>
      <w:r>
        <w:rPr>
          <w:rFonts w:hint="eastAsia" w:ascii="方正小标宋简体" w:hAnsi="方正小标宋简体" w:eastAsia="方正小标宋简体" w:cs="方正小标宋简体"/>
          <w:b w:val="0"/>
          <w:bCs/>
          <w:sz w:val="48"/>
          <w:szCs w:val="48"/>
          <w:lang w:eastAsia="zh-CN"/>
        </w:rPr>
        <w:t>政府采购</w:t>
      </w:r>
      <w:r>
        <w:rPr>
          <w:rFonts w:hint="default" w:ascii="方正小标宋简体" w:hAnsi="方正小标宋简体" w:eastAsia="方正小标宋简体" w:cs="方正小标宋简体"/>
          <w:b w:val="0"/>
          <w:bCs/>
          <w:sz w:val="48"/>
          <w:szCs w:val="48"/>
          <w:lang w:val="en" w:eastAsia="zh-CN"/>
        </w:rPr>
        <w:t>项目</w:t>
      </w:r>
      <w:r>
        <w:rPr>
          <w:rFonts w:hint="eastAsia" w:ascii="方正小标宋简体" w:hAnsi="方正小标宋简体" w:eastAsia="方正小标宋简体" w:cs="方正小标宋简体"/>
          <w:b w:val="0"/>
          <w:bCs/>
          <w:sz w:val="48"/>
          <w:szCs w:val="48"/>
          <w:lang w:eastAsia="zh-CN"/>
        </w:rPr>
        <w:t>“一件事一次办”</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0"/>
        <w:rPr>
          <w:rFonts w:hint="eastAsia" w:ascii="宋体" w:hAnsi="宋体" w:eastAsia="宋体" w:cs="宋体"/>
          <w:b/>
          <w:bCs/>
          <w:color w:val="000000" w:themeColor="text1"/>
          <w:sz w:val="44"/>
          <w:szCs w:val="44"/>
          <w:lang w:eastAsia="zh-CN"/>
          <w14:textFill>
            <w14:solidFill>
              <w14:schemeClr w14:val="tx1"/>
            </w14:solidFill>
          </w14:textFill>
        </w:rPr>
      </w:pPr>
      <w:bookmarkStart w:id="4" w:name="_Toc666822860"/>
      <w:bookmarkStart w:id="5" w:name="_Toc759299627"/>
      <w:bookmarkStart w:id="6" w:name="_Toc1173152521"/>
      <w:r>
        <w:rPr>
          <w:rFonts w:hint="eastAsia" w:ascii="方正小标宋简体" w:hAnsi="方正小标宋简体" w:eastAsia="方正小标宋简体" w:cs="方正小标宋简体"/>
          <w:b w:val="0"/>
          <w:bCs/>
          <w:sz w:val="48"/>
          <w:szCs w:val="48"/>
          <w:lang w:eastAsia="zh-CN"/>
        </w:rPr>
        <w:t>系统操作指南（采购人）</w:t>
      </w:r>
      <w:bookmarkEnd w:id="4"/>
      <w:bookmarkEnd w:id="5"/>
      <w:bookmarkEnd w:id="6"/>
    </w:p>
    <w:p>
      <w:pPr>
        <w:jc w:val="center"/>
        <w:rPr>
          <w:color w:val="000000" w:themeColor="text1"/>
          <w:sz w:val="44"/>
          <w:szCs w:val="44"/>
          <w14:textFill>
            <w14:solidFill>
              <w14:schemeClr w14:val="tx1"/>
            </w14:solidFill>
          </w14:textFill>
        </w:rPr>
      </w:pPr>
    </w:p>
    <w:p>
      <w:pPr>
        <w:jc w:val="center"/>
        <w:rPr>
          <w:color w:val="000000" w:themeColor="text1"/>
          <w:sz w:val="44"/>
          <w:szCs w:val="44"/>
          <w14:textFill>
            <w14:solidFill>
              <w14:schemeClr w14:val="tx1"/>
            </w14:solidFill>
          </w14:textFill>
        </w:rPr>
      </w:pPr>
    </w:p>
    <w:p>
      <w:pPr>
        <w:jc w:val="center"/>
        <w:rPr>
          <w:color w:val="000000" w:themeColor="text1"/>
          <w:sz w:val="44"/>
          <w:szCs w:val="44"/>
          <w14:textFill>
            <w14:solidFill>
              <w14:schemeClr w14:val="tx1"/>
            </w14:solidFill>
          </w14:textFill>
        </w:rPr>
      </w:pPr>
    </w:p>
    <w:p>
      <w:pPr>
        <w:jc w:val="center"/>
        <w:rPr>
          <w:color w:val="000000" w:themeColor="text1"/>
          <w:sz w:val="44"/>
          <w:szCs w:val="44"/>
          <w14:textFill>
            <w14:solidFill>
              <w14:schemeClr w14:val="tx1"/>
            </w14:solidFill>
          </w14:textFill>
        </w:rPr>
      </w:pPr>
    </w:p>
    <w:p>
      <w:pPr>
        <w:jc w:val="center"/>
        <w:rPr>
          <w:color w:val="000000" w:themeColor="text1"/>
          <w:sz w:val="44"/>
          <w:szCs w:val="44"/>
          <w14:textFill>
            <w14:solidFill>
              <w14:schemeClr w14:val="tx1"/>
            </w14:solidFill>
          </w14:textFill>
        </w:rPr>
      </w:pPr>
    </w:p>
    <w:p>
      <w:pPr>
        <w:jc w:val="center"/>
        <w:rPr>
          <w:rFonts w:asciiTheme="majorEastAsia" w:hAnsiTheme="majorEastAsia" w:eastAsiaTheme="majorEastAsia"/>
          <w:color w:val="000000" w:themeColor="text1"/>
          <w:sz w:val="32"/>
          <w:szCs w:val="32"/>
          <w14:textFill>
            <w14:solidFill>
              <w14:schemeClr w14:val="tx1"/>
            </w14:solidFill>
          </w14:textFill>
        </w:rPr>
      </w:pPr>
    </w:p>
    <w:p>
      <w:pPr>
        <w:jc w:val="center"/>
        <w:rPr>
          <w:rFonts w:asciiTheme="majorEastAsia" w:hAnsiTheme="majorEastAsia" w:eastAsiaTheme="majorEastAsia"/>
          <w:color w:val="000000" w:themeColor="text1"/>
          <w:sz w:val="32"/>
          <w:szCs w:val="32"/>
          <w14:textFill>
            <w14:solidFill>
              <w14:schemeClr w14:val="tx1"/>
            </w14:solidFill>
          </w14:textFill>
        </w:rPr>
      </w:pPr>
    </w:p>
    <w:p>
      <w:pPr>
        <w:jc w:val="center"/>
        <w:rPr>
          <w:rFonts w:asciiTheme="majorEastAsia" w:hAnsiTheme="majorEastAsia" w:eastAsiaTheme="majorEastAsia"/>
          <w:color w:val="000000" w:themeColor="text1"/>
          <w:sz w:val="32"/>
          <w:szCs w:val="32"/>
          <w14:textFill>
            <w14:solidFill>
              <w14:schemeClr w14:val="tx1"/>
            </w14:solidFill>
          </w14:textFill>
        </w:rPr>
      </w:pPr>
    </w:p>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2023年0</w:t>
      </w:r>
      <w:r>
        <w:rPr>
          <w:rFonts w:hint="eastAsia" w:asciiTheme="majorEastAsia" w:hAnsiTheme="majorEastAsia" w:eastAsiaTheme="majorEastAsia"/>
          <w:b/>
          <w:sz w:val="32"/>
          <w:szCs w:val="32"/>
          <w:lang w:val="en-US" w:eastAsia="zh-CN"/>
        </w:rPr>
        <w:t>8</w:t>
      </w:r>
      <w:r>
        <w:rPr>
          <w:rFonts w:hint="eastAsia" w:asciiTheme="majorEastAsia" w:hAnsiTheme="majorEastAsia" w:eastAsiaTheme="majorEastAsia"/>
          <w:b/>
          <w:sz w:val="32"/>
          <w:szCs w:val="32"/>
        </w:rPr>
        <w:t>月</w:t>
      </w:r>
    </w:p>
    <w:p>
      <w:pPr>
        <w:rPr>
          <w:color w:val="000000" w:themeColor="text1"/>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p>
    <w:sdt>
      <w:sdtPr>
        <w:rPr>
          <w:rFonts w:ascii="宋体" w:hAnsi="宋体" w:eastAsia="宋体"/>
          <w:b w:val="0"/>
          <w:bCs w:val="0"/>
          <w:color w:val="000000" w:themeColor="text1"/>
          <w:sz w:val="32"/>
          <w:szCs w:val="32"/>
          <w14:textFill>
            <w14:solidFill>
              <w14:schemeClr w14:val="tx1"/>
            </w14:solidFill>
          </w14:textFill>
        </w:rPr>
        <w:id w:val="147465115"/>
        <w:docPartObj>
          <w:docPartGallery w:val="Table of Contents"/>
          <w:docPartUnique/>
        </w:docPartObj>
      </w:sdtPr>
      <w:sdtEndPr>
        <w:rPr>
          <w:rFonts w:asciiTheme="minorHAnsi" w:hAnsiTheme="minorHAnsi" w:eastAsiaTheme="minorEastAsia"/>
          <w:b/>
          <w:bCs/>
          <w:color w:val="000000" w:themeColor="text1"/>
          <w:sz w:val="32"/>
          <w:szCs w:val="44"/>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b w:val="0"/>
              <w:bCs w:val="0"/>
              <w:sz w:val="32"/>
              <w:szCs w:val="32"/>
            </w:rP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pPr>
            <w:pStyle w:val="16"/>
            <w:tabs>
              <w:tab w:val="right" w:leader="dot" w:pos="8306"/>
            </w:tabs>
          </w:pPr>
          <w:r>
            <w:rPr>
              <w:rFonts w:hint="eastAsia" w:asciiTheme="minorEastAsia" w:hAnsi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cstheme="minorEastAsia"/>
              <w:color w:val="000000" w:themeColor="text1"/>
              <w:sz w:val="28"/>
              <w:szCs w:val="28"/>
              <w14:textFill>
                <w14:solidFill>
                  <w14:schemeClr w14:val="tx1"/>
                </w14:solidFill>
              </w14:textFill>
            </w:rPr>
            <w:instrText xml:space="preserve">TOC \o "1-3" \h \u </w:instrText>
          </w:r>
          <w:r>
            <w:rPr>
              <w:rFonts w:hint="eastAsia" w:asciiTheme="minorEastAsia" w:hAnsiTheme="minorEastAsia" w:cstheme="minorEastAsia"/>
              <w:color w:val="000000" w:themeColor="text1"/>
              <w:sz w:val="28"/>
              <w:szCs w:val="28"/>
              <w14:textFill>
                <w14:solidFill>
                  <w14:schemeClr w14:val="tx1"/>
                </w14:solidFill>
              </w14:textFill>
            </w:rPr>
            <w:fldChar w:fldCharType="separate"/>
          </w:r>
        </w:p>
        <w:p>
          <w:pPr>
            <w:pStyle w:val="16"/>
            <w:tabs>
              <w:tab w:val="right" w:leader="dot" w:pos="8306"/>
            </w:tabs>
          </w:pPr>
          <w:r>
            <w:rPr>
              <w:rFonts w:hint="eastAsia" w:asciiTheme="minorEastAsia" w:hAnsiTheme="minorEastAsia" w:cstheme="minorEastAsia"/>
              <w:color w:val="000000" w:themeColor="text1"/>
              <w:szCs w:val="28"/>
              <w14:textFill>
                <w14:solidFill>
                  <w14:schemeClr w14:val="tx1"/>
                </w14:solidFill>
              </w14:textFill>
            </w:rPr>
            <w:fldChar w:fldCharType="begin"/>
          </w:r>
          <w:r>
            <w:rPr>
              <w:rFonts w:hint="eastAsia" w:asciiTheme="minorEastAsia" w:hAnsiTheme="minorEastAsia" w:cstheme="minorEastAsia"/>
              <w:szCs w:val="28"/>
            </w:rPr>
            <w:instrText xml:space="preserve"> HYPERLINK \l _Toc1266397045 </w:instrText>
          </w:r>
          <w:r>
            <w:rPr>
              <w:rFonts w:hint="eastAsia" w:asciiTheme="minorEastAsia" w:hAnsiTheme="minorEastAsia" w:cstheme="minorEastAsia"/>
              <w:szCs w:val="28"/>
            </w:rPr>
            <w:fldChar w:fldCharType="separate"/>
          </w:r>
          <w:r>
            <w:rPr>
              <w:rFonts w:hint="eastAsia" w:ascii="Times New Roman" w:hAnsi="Times New Roman" w:eastAsia="宋体" w:cs="Times New Roman"/>
              <w:bCs/>
              <w:kern w:val="44"/>
              <w:szCs w:val="28"/>
              <w:lang w:val="en-US"/>
            </w:rPr>
            <w:t xml:space="preserve">一、 </w:t>
          </w:r>
          <w:r>
            <w:rPr>
              <w:rFonts w:hint="eastAsia" w:ascii="Times New Roman" w:hAnsi="Times New Roman" w:eastAsia="宋体" w:cs="Times New Roman"/>
              <w:bCs/>
              <w:kern w:val="44"/>
              <w:szCs w:val="28"/>
            </w:rPr>
            <w:t>系统</w:t>
          </w:r>
          <w:r>
            <w:rPr>
              <w:rFonts w:hint="eastAsia" w:ascii="Times New Roman" w:hAnsi="Times New Roman" w:eastAsia="宋体" w:cs="Times New Roman"/>
              <w:bCs/>
              <w:kern w:val="44"/>
              <w:szCs w:val="28"/>
              <w:lang w:eastAsia="zh-CN"/>
            </w:rPr>
            <w:t>入口及</w:t>
          </w:r>
          <w:r>
            <w:rPr>
              <w:rFonts w:hint="eastAsia" w:ascii="Times New Roman" w:hAnsi="Times New Roman" w:eastAsia="宋体" w:cs="Times New Roman"/>
              <w:bCs/>
              <w:kern w:val="44"/>
              <w:szCs w:val="28"/>
            </w:rPr>
            <w:t>登录</w:t>
          </w:r>
          <w:r>
            <w:tab/>
          </w:r>
          <w:r>
            <w:fldChar w:fldCharType="begin"/>
          </w:r>
          <w:r>
            <w:instrText xml:space="preserve"> PAGEREF _Toc1266397045 </w:instrText>
          </w:r>
          <w:r>
            <w:fldChar w:fldCharType="separate"/>
          </w:r>
          <w:r>
            <w:t>1</w:t>
          </w:r>
          <w:r>
            <w:fldChar w:fldCharType="end"/>
          </w:r>
          <w:r>
            <w:rPr>
              <w:rFonts w:hint="eastAsia" w:asciiTheme="minorEastAsia" w:hAnsiTheme="minorEastAsia" w:cstheme="minorEastAsia"/>
              <w:color w:val="000000" w:themeColor="text1"/>
              <w:szCs w:val="28"/>
              <w14:textFill>
                <w14:solidFill>
                  <w14:schemeClr w14:val="tx1"/>
                </w14:solidFill>
              </w14:textFill>
            </w:rPr>
            <w:fldChar w:fldCharType="end"/>
          </w:r>
        </w:p>
        <w:p>
          <w:pPr>
            <w:pStyle w:val="16"/>
            <w:tabs>
              <w:tab w:val="right" w:leader="dot" w:pos="8306"/>
            </w:tabs>
          </w:pPr>
          <w:r>
            <w:rPr>
              <w:rFonts w:hint="eastAsia" w:asciiTheme="minorEastAsia" w:hAnsiTheme="minorEastAsia" w:cstheme="minorEastAsia"/>
              <w:color w:val="000000" w:themeColor="text1"/>
              <w:szCs w:val="28"/>
              <w14:textFill>
                <w14:solidFill>
                  <w14:schemeClr w14:val="tx1"/>
                </w14:solidFill>
              </w14:textFill>
            </w:rPr>
            <w:fldChar w:fldCharType="begin"/>
          </w:r>
          <w:r>
            <w:rPr>
              <w:rFonts w:hint="eastAsia" w:asciiTheme="minorEastAsia" w:hAnsiTheme="minorEastAsia" w:cstheme="minorEastAsia"/>
              <w:szCs w:val="28"/>
            </w:rPr>
            <w:instrText xml:space="preserve"> HYPERLINK \l _Toc1307927100 </w:instrText>
          </w:r>
          <w:r>
            <w:rPr>
              <w:rFonts w:hint="eastAsia" w:asciiTheme="minorEastAsia" w:hAnsiTheme="minorEastAsia" w:cstheme="minorEastAsia"/>
              <w:szCs w:val="28"/>
            </w:rPr>
            <w:fldChar w:fldCharType="separate"/>
          </w:r>
          <w:r>
            <w:rPr>
              <w:rFonts w:hint="eastAsia" w:ascii="Times New Roman" w:hAnsi="Times New Roman" w:eastAsia="宋体" w:cs="Times New Roman"/>
              <w:bCs/>
              <w:kern w:val="44"/>
              <w:szCs w:val="28"/>
              <w:lang w:val="en-US" w:eastAsia="zh-CN"/>
            </w:rPr>
            <w:t xml:space="preserve">二、 </w:t>
          </w:r>
          <w:r>
            <w:rPr>
              <w:rFonts w:hint="eastAsia" w:ascii="Times New Roman" w:hAnsi="Times New Roman" w:eastAsia="宋体" w:cs="Times New Roman"/>
              <w:bCs/>
              <w:kern w:val="44"/>
              <w:szCs w:val="28"/>
              <w:lang w:eastAsia="zh-CN"/>
            </w:rPr>
            <w:t>签订委托协议（集中采购项目）</w:t>
          </w:r>
          <w:r>
            <w:tab/>
          </w:r>
          <w:r>
            <w:fldChar w:fldCharType="begin"/>
          </w:r>
          <w:r>
            <w:instrText xml:space="preserve"> PAGEREF _Toc1307927100 </w:instrText>
          </w:r>
          <w:r>
            <w:fldChar w:fldCharType="separate"/>
          </w:r>
          <w:r>
            <w:t>2</w:t>
          </w:r>
          <w:r>
            <w:fldChar w:fldCharType="end"/>
          </w:r>
          <w:r>
            <w:rPr>
              <w:rFonts w:hint="eastAsia" w:asciiTheme="minorEastAsia" w:hAnsiTheme="minorEastAsia" w:cstheme="minorEastAsia"/>
              <w:color w:val="000000" w:themeColor="text1"/>
              <w:szCs w:val="28"/>
              <w14:textFill>
                <w14:solidFill>
                  <w14:schemeClr w14:val="tx1"/>
                </w14:solidFill>
              </w14:textFill>
            </w:rPr>
            <w:fldChar w:fldCharType="end"/>
          </w:r>
        </w:p>
        <w:p>
          <w:pPr>
            <w:pStyle w:val="16"/>
            <w:tabs>
              <w:tab w:val="right" w:leader="dot" w:pos="8306"/>
            </w:tabs>
          </w:pPr>
          <w:r>
            <w:rPr>
              <w:rFonts w:hint="eastAsia" w:asciiTheme="minorEastAsia" w:hAnsiTheme="minorEastAsia" w:cstheme="minorEastAsia"/>
              <w:color w:val="000000" w:themeColor="text1"/>
              <w:szCs w:val="28"/>
              <w14:textFill>
                <w14:solidFill>
                  <w14:schemeClr w14:val="tx1"/>
                </w14:solidFill>
              </w14:textFill>
            </w:rPr>
            <w:fldChar w:fldCharType="begin"/>
          </w:r>
          <w:r>
            <w:rPr>
              <w:rFonts w:hint="eastAsia" w:asciiTheme="minorEastAsia" w:hAnsiTheme="minorEastAsia" w:cstheme="minorEastAsia"/>
              <w:szCs w:val="28"/>
            </w:rPr>
            <w:instrText xml:space="preserve"> HYPERLINK \l _Toc1573133313 </w:instrText>
          </w:r>
          <w:r>
            <w:rPr>
              <w:rFonts w:hint="eastAsia" w:asciiTheme="minorEastAsia" w:hAnsiTheme="minorEastAsia" w:cstheme="minorEastAsia"/>
              <w:szCs w:val="28"/>
            </w:rPr>
            <w:fldChar w:fldCharType="separate"/>
          </w:r>
          <w:r>
            <w:rPr>
              <w:rFonts w:hint="eastAsia" w:ascii="Times New Roman" w:hAnsi="Times New Roman" w:eastAsia="宋体" w:cs="Times New Roman"/>
              <w:bCs/>
              <w:kern w:val="44"/>
              <w:szCs w:val="28"/>
              <w:lang w:val="en-US" w:eastAsia="zh-CN"/>
            </w:rPr>
            <w:t xml:space="preserve">三、 </w:t>
          </w:r>
          <w:r>
            <w:rPr>
              <w:rFonts w:hint="eastAsia" w:ascii="Times New Roman" w:hAnsi="Times New Roman" w:eastAsia="宋体" w:cs="Times New Roman"/>
              <w:bCs/>
              <w:kern w:val="44"/>
              <w:szCs w:val="28"/>
              <w:lang w:eastAsia="zh-CN"/>
            </w:rPr>
            <w:t>质疑答复（集中采购项目）</w:t>
          </w:r>
          <w:r>
            <w:tab/>
          </w:r>
          <w:r>
            <w:fldChar w:fldCharType="begin"/>
          </w:r>
          <w:r>
            <w:instrText xml:space="preserve"> PAGEREF _Toc1573133313 </w:instrText>
          </w:r>
          <w:r>
            <w:fldChar w:fldCharType="separate"/>
          </w:r>
          <w:r>
            <w:t>4</w:t>
          </w:r>
          <w:r>
            <w:fldChar w:fldCharType="end"/>
          </w:r>
          <w:r>
            <w:rPr>
              <w:rFonts w:hint="eastAsia" w:asciiTheme="minorEastAsia" w:hAnsiTheme="minorEastAsia" w:cstheme="minorEastAsia"/>
              <w:color w:val="000000" w:themeColor="text1"/>
              <w:szCs w:val="28"/>
              <w14:textFill>
                <w14:solidFill>
                  <w14:schemeClr w14:val="tx1"/>
                </w14:solidFill>
              </w14:textFill>
            </w:rPr>
            <w:fldChar w:fldCharType="end"/>
          </w:r>
        </w:p>
        <w:p>
          <w:pPr>
            <w:pStyle w:val="16"/>
            <w:tabs>
              <w:tab w:val="right" w:leader="dot" w:pos="8306"/>
            </w:tabs>
          </w:pPr>
          <w:r>
            <w:rPr>
              <w:rFonts w:hint="eastAsia" w:asciiTheme="minorEastAsia" w:hAnsiTheme="minorEastAsia" w:cstheme="minorEastAsia"/>
              <w:color w:val="000000" w:themeColor="text1"/>
              <w:szCs w:val="28"/>
              <w14:textFill>
                <w14:solidFill>
                  <w14:schemeClr w14:val="tx1"/>
                </w14:solidFill>
              </w14:textFill>
            </w:rPr>
            <w:fldChar w:fldCharType="begin"/>
          </w:r>
          <w:r>
            <w:rPr>
              <w:rFonts w:hint="eastAsia" w:asciiTheme="minorEastAsia" w:hAnsiTheme="minorEastAsia" w:cstheme="minorEastAsia"/>
              <w:szCs w:val="28"/>
            </w:rPr>
            <w:instrText xml:space="preserve"> HYPERLINK \l _Toc80049648 </w:instrText>
          </w:r>
          <w:r>
            <w:rPr>
              <w:rFonts w:hint="eastAsia" w:asciiTheme="minorEastAsia" w:hAnsiTheme="minorEastAsia" w:cstheme="minorEastAsia"/>
              <w:szCs w:val="28"/>
            </w:rPr>
            <w:fldChar w:fldCharType="separate"/>
          </w:r>
          <w:r>
            <w:rPr>
              <w:rFonts w:hint="eastAsia" w:ascii="Times New Roman" w:hAnsi="Times New Roman" w:eastAsia="宋体" w:cs="Times New Roman"/>
              <w:bCs/>
              <w:kern w:val="44"/>
              <w:szCs w:val="28"/>
              <w:lang w:val="en-US" w:eastAsia="zh-CN"/>
            </w:rPr>
            <w:t xml:space="preserve">四、 </w:t>
          </w:r>
          <w:r>
            <w:rPr>
              <w:rFonts w:hint="eastAsia" w:ascii="Times New Roman" w:hAnsi="Times New Roman" w:eastAsia="宋体" w:cs="Times New Roman"/>
              <w:bCs/>
              <w:kern w:val="44"/>
              <w:szCs w:val="28"/>
              <w:lang w:eastAsia="zh-CN"/>
            </w:rPr>
            <w:t>采购人代表及监督人员入区操作流程</w:t>
          </w:r>
          <w:r>
            <w:tab/>
          </w:r>
          <w:r>
            <w:fldChar w:fldCharType="begin"/>
          </w:r>
          <w:r>
            <w:instrText xml:space="preserve"> PAGEREF _Toc80049648 </w:instrText>
          </w:r>
          <w:r>
            <w:fldChar w:fldCharType="separate"/>
          </w:r>
          <w:r>
            <w:t>4</w:t>
          </w:r>
          <w:r>
            <w:fldChar w:fldCharType="end"/>
          </w:r>
          <w:r>
            <w:rPr>
              <w:rFonts w:hint="eastAsia" w:asciiTheme="minorEastAsia" w:hAnsiTheme="minorEastAsia" w:cstheme="minorEastAsia"/>
              <w:color w:val="000000" w:themeColor="text1"/>
              <w:szCs w:val="28"/>
              <w14:textFill>
                <w14:solidFill>
                  <w14:schemeClr w14:val="tx1"/>
                </w14:solidFill>
              </w14:textFill>
            </w:rPr>
            <w:fldChar w:fldCharType="end"/>
          </w:r>
        </w:p>
        <w:p>
          <w:pPr>
            <w:pStyle w:val="17"/>
            <w:tabs>
              <w:tab w:val="right" w:leader="dot" w:pos="8306"/>
            </w:tabs>
          </w:pPr>
          <w:r>
            <w:rPr>
              <w:rFonts w:hint="eastAsia" w:asciiTheme="minorEastAsia" w:hAnsiTheme="minorEastAsia" w:cstheme="minorEastAsia"/>
              <w:color w:val="000000" w:themeColor="text1"/>
              <w:szCs w:val="28"/>
              <w14:textFill>
                <w14:solidFill>
                  <w14:schemeClr w14:val="tx1"/>
                </w14:solidFill>
              </w14:textFill>
            </w:rPr>
            <w:fldChar w:fldCharType="begin"/>
          </w:r>
          <w:r>
            <w:rPr>
              <w:rFonts w:hint="eastAsia" w:asciiTheme="minorEastAsia" w:hAnsiTheme="minorEastAsia" w:cstheme="minorEastAsia"/>
              <w:szCs w:val="28"/>
            </w:rPr>
            <w:instrText xml:space="preserve"> HYPERLINK \l _Toc1310925739 </w:instrText>
          </w:r>
          <w:r>
            <w:rPr>
              <w:rFonts w:hint="eastAsia" w:asciiTheme="minorEastAsia" w:hAnsiTheme="minorEastAsia" w:cstheme="minorEastAsia"/>
              <w:szCs w:val="28"/>
            </w:rPr>
            <w:fldChar w:fldCharType="separate"/>
          </w:r>
          <w:r>
            <w:rPr>
              <w:rFonts w:hint="eastAsia" w:asciiTheme="minorEastAsia" w:hAnsiTheme="minorEastAsia" w:eastAsiaTheme="minorEastAsia" w:cstheme="minorEastAsia"/>
              <w:szCs w:val="24"/>
              <w:lang w:val="en-US" w:eastAsia="zh-CN"/>
            </w:rPr>
            <w:t>1、</w:t>
          </w:r>
          <w:r>
            <w:rPr>
              <w:rFonts w:hint="default" w:asciiTheme="minorEastAsia" w:hAnsiTheme="minorEastAsia" w:eastAsiaTheme="minorEastAsia" w:cstheme="minorEastAsia"/>
              <w:szCs w:val="24"/>
              <w:lang w:val="en" w:eastAsia="zh-CN"/>
            </w:rPr>
            <w:t>现</w:t>
          </w:r>
          <w:r>
            <w:rPr>
              <w:rFonts w:hint="eastAsia" w:asciiTheme="minorEastAsia" w:hAnsiTheme="minorEastAsia" w:eastAsiaTheme="minorEastAsia" w:cstheme="minorEastAsia"/>
              <w:szCs w:val="24"/>
              <w:lang w:val="en-US" w:eastAsia="zh-CN"/>
            </w:rPr>
            <w:t>场监督人员信息录入</w:t>
          </w:r>
          <w:r>
            <w:tab/>
          </w:r>
          <w:r>
            <w:fldChar w:fldCharType="begin"/>
          </w:r>
          <w:r>
            <w:instrText xml:space="preserve"> PAGEREF _Toc1310925739 </w:instrText>
          </w:r>
          <w:r>
            <w:fldChar w:fldCharType="separate"/>
          </w:r>
          <w:r>
            <w:t>4</w:t>
          </w:r>
          <w:r>
            <w:fldChar w:fldCharType="end"/>
          </w:r>
          <w:r>
            <w:rPr>
              <w:rFonts w:hint="eastAsia" w:asciiTheme="minorEastAsia" w:hAnsiTheme="minorEastAsia" w:cstheme="minorEastAsia"/>
              <w:color w:val="000000" w:themeColor="text1"/>
              <w:szCs w:val="28"/>
              <w14:textFill>
                <w14:solidFill>
                  <w14:schemeClr w14:val="tx1"/>
                </w14:solidFill>
              </w14:textFill>
            </w:rPr>
            <w:fldChar w:fldCharType="end"/>
          </w:r>
        </w:p>
        <w:p>
          <w:pPr>
            <w:pStyle w:val="17"/>
            <w:tabs>
              <w:tab w:val="right" w:leader="dot" w:pos="8306"/>
            </w:tabs>
          </w:pPr>
          <w:r>
            <w:rPr>
              <w:rFonts w:hint="eastAsia" w:asciiTheme="minorEastAsia" w:hAnsiTheme="minorEastAsia" w:cstheme="minorEastAsia"/>
              <w:color w:val="000000" w:themeColor="text1"/>
              <w:szCs w:val="28"/>
              <w14:textFill>
                <w14:solidFill>
                  <w14:schemeClr w14:val="tx1"/>
                </w14:solidFill>
              </w14:textFill>
            </w:rPr>
            <w:fldChar w:fldCharType="begin"/>
          </w:r>
          <w:r>
            <w:rPr>
              <w:rFonts w:hint="eastAsia" w:asciiTheme="minorEastAsia" w:hAnsiTheme="minorEastAsia" w:cstheme="minorEastAsia"/>
              <w:szCs w:val="28"/>
            </w:rPr>
            <w:instrText xml:space="preserve"> HYPERLINK \l _Toc1347311489 </w:instrText>
          </w:r>
          <w:r>
            <w:rPr>
              <w:rFonts w:hint="eastAsia" w:asciiTheme="minorEastAsia" w:hAnsiTheme="minorEastAsia" w:cstheme="minorEastAsia"/>
              <w:szCs w:val="28"/>
            </w:rPr>
            <w:fldChar w:fldCharType="separate"/>
          </w:r>
          <w:r>
            <w:rPr>
              <w:rFonts w:hint="eastAsia" w:asciiTheme="minorEastAsia" w:hAnsiTheme="minorEastAsia" w:eastAsiaTheme="minorEastAsia" w:cstheme="minorEastAsia"/>
              <w:szCs w:val="24"/>
              <w:lang w:val="en-US" w:eastAsia="zh-CN"/>
            </w:rPr>
            <w:t>2、委派采购人代表参加评标</w:t>
          </w:r>
          <w:r>
            <w:tab/>
          </w:r>
          <w:r>
            <w:fldChar w:fldCharType="begin"/>
          </w:r>
          <w:r>
            <w:instrText xml:space="preserve"> PAGEREF _Toc1347311489 </w:instrText>
          </w:r>
          <w:r>
            <w:fldChar w:fldCharType="separate"/>
          </w:r>
          <w:r>
            <w:t>5</w:t>
          </w:r>
          <w:r>
            <w:fldChar w:fldCharType="end"/>
          </w:r>
          <w:r>
            <w:rPr>
              <w:rFonts w:hint="eastAsia" w:asciiTheme="minorEastAsia" w:hAnsiTheme="minorEastAsia" w:cstheme="minorEastAsia"/>
              <w:color w:val="000000" w:themeColor="text1"/>
              <w:szCs w:val="28"/>
              <w14:textFill>
                <w14:solidFill>
                  <w14:schemeClr w14:val="tx1"/>
                </w14:solidFill>
              </w14:textFill>
            </w:rPr>
            <w:fldChar w:fldCharType="end"/>
          </w:r>
        </w:p>
        <w:p>
          <w:pPr>
            <w:pStyle w:val="16"/>
            <w:tabs>
              <w:tab w:val="right" w:leader="dot" w:pos="8306"/>
            </w:tabs>
          </w:pPr>
          <w:r>
            <w:rPr>
              <w:rFonts w:hint="eastAsia" w:asciiTheme="minorEastAsia" w:hAnsiTheme="minorEastAsia" w:cstheme="minorEastAsia"/>
              <w:color w:val="000000" w:themeColor="text1"/>
              <w:szCs w:val="28"/>
              <w14:textFill>
                <w14:solidFill>
                  <w14:schemeClr w14:val="tx1"/>
                </w14:solidFill>
              </w14:textFill>
            </w:rPr>
            <w:fldChar w:fldCharType="begin"/>
          </w:r>
          <w:r>
            <w:rPr>
              <w:rFonts w:hint="eastAsia" w:asciiTheme="minorEastAsia" w:hAnsiTheme="minorEastAsia" w:cstheme="minorEastAsia"/>
              <w:szCs w:val="28"/>
            </w:rPr>
            <w:instrText xml:space="preserve"> HYPERLINK \l _Toc1384437058 </w:instrText>
          </w:r>
          <w:r>
            <w:rPr>
              <w:rFonts w:hint="eastAsia" w:asciiTheme="minorEastAsia" w:hAnsiTheme="minorEastAsia" w:cstheme="minorEastAsia"/>
              <w:szCs w:val="28"/>
            </w:rPr>
            <w:fldChar w:fldCharType="separate"/>
          </w:r>
          <w:r>
            <w:rPr>
              <w:rFonts w:hint="eastAsia" w:ascii="Times New Roman" w:hAnsi="Times New Roman" w:eastAsia="宋体" w:cs="Times New Roman"/>
              <w:bCs/>
              <w:kern w:val="44"/>
              <w:szCs w:val="28"/>
              <w:lang w:val="en-US" w:eastAsia="zh-CN"/>
            </w:rPr>
            <w:t>五、 查询保存项目档案</w:t>
          </w:r>
          <w:r>
            <w:tab/>
          </w:r>
          <w:r>
            <w:fldChar w:fldCharType="begin"/>
          </w:r>
          <w:r>
            <w:instrText xml:space="preserve"> PAGEREF _Toc1384437058 </w:instrText>
          </w:r>
          <w:r>
            <w:fldChar w:fldCharType="separate"/>
          </w:r>
          <w:r>
            <w:t>5</w:t>
          </w:r>
          <w:r>
            <w:fldChar w:fldCharType="end"/>
          </w:r>
          <w:r>
            <w:rPr>
              <w:rFonts w:hint="eastAsia" w:asciiTheme="minorEastAsia" w:hAnsiTheme="minorEastAsia" w:cstheme="minorEastAsia"/>
              <w:color w:val="000000" w:themeColor="text1"/>
              <w:szCs w:val="28"/>
              <w14:textFill>
                <w14:solidFill>
                  <w14:schemeClr w14:val="tx1"/>
                </w14:solidFill>
              </w14:textFill>
            </w:rPr>
            <w:fldChar w:fldCharType="end"/>
          </w:r>
        </w:p>
        <w:p>
          <w:pPr>
            <w:rPr>
              <w:color w:val="000000" w:themeColor="text1"/>
              <w14:textFill>
                <w14:solidFill>
                  <w14:schemeClr w14:val="tx1"/>
                </w14:solidFill>
              </w14:textFill>
            </w:rPr>
          </w:pPr>
          <w:r>
            <w:rPr>
              <w:rFonts w:hint="eastAsia" w:asciiTheme="minorEastAsia" w:hAnsiTheme="minorEastAsia" w:cstheme="minorEastAsia"/>
              <w:color w:val="000000" w:themeColor="text1"/>
              <w:szCs w:val="28"/>
              <w14:textFill>
                <w14:solidFill>
                  <w14:schemeClr w14:val="tx1"/>
                </w14:solidFill>
              </w14:textFill>
            </w:rPr>
            <w:fldChar w:fldCharType="end"/>
          </w:r>
        </w:p>
      </w:sdtContent>
    </w:sdt>
    <w:p>
      <w:pPr>
        <w:pStyle w:val="2"/>
        <w:numPr>
          <w:ilvl w:val="0"/>
          <w:numId w:val="0"/>
        </w:numPr>
        <w:spacing w:before="0" w:after="0" w:line="240" w:lineRule="auto"/>
        <w:jc w:val="left"/>
        <w:rPr>
          <w:rFonts w:ascii="仿宋" w:hAnsi="仿宋" w:eastAsia="仿宋"/>
          <w:color w:val="000000" w:themeColor="text1"/>
          <w:szCs w:val="32"/>
          <w14:textFill>
            <w14:solidFill>
              <w14:schemeClr w14:val="tx1"/>
            </w14:solidFill>
          </w14:textFill>
        </w:rPr>
        <w:sectPr>
          <w:pgSz w:w="11906" w:h="16838"/>
          <w:pgMar w:top="1440" w:right="1800" w:bottom="1440" w:left="1800" w:header="851" w:footer="992" w:gutter="0"/>
          <w:cols w:space="425" w:num="1"/>
          <w:docGrid w:type="lines" w:linePitch="312" w:charSpace="0"/>
        </w:sectPr>
      </w:pPr>
      <w:bookmarkStart w:id="20" w:name="_GoBack"/>
      <w:bookmarkEnd w:id="20"/>
    </w:p>
    <w:p>
      <w:pPr>
        <w:keepNext/>
        <w:keepLines/>
        <w:numPr>
          <w:ilvl w:val="0"/>
          <w:numId w:val="1"/>
        </w:numPr>
        <w:tabs>
          <w:tab w:val="left" w:pos="425"/>
        </w:tabs>
        <w:outlineLvl w:val="0"/>
        <w:rPr>
          <w:rFonts w:ascii="Times New Roman" w:hAnsi="Times New Roman" w:eastAsia="宋体" w:cs="Times New Roman"/>
          <w:b/>
          <w:bCs/>
          <w:color w:val="000000" w:themeColor="text1"/>
          <w:kern w:val="44"/>
          <w:sz w:val="32"/>
          <w:szCs w:val="28"/>
          <w14:textFill>
            <w14:solidFill>
              <w14:schemeClr w14:val="tx1"/>
            </w14:solidFill>
          </w14:textFill>
        </w:rPr>
      </w:pPr>
      <w:bookmarkStart w:id="7" w:name="_Toc1785767907"/>
      <w:bookmarkStart w:id="8" w:name="_Toc1983334771"/>
      <w:bookmarkStart w:id="9" w:name="_Toc13461"/>
      <w:bookmarkStart w:id="10" w:name="_Toc1266397045"/>
      <w:bookmarkStart w:id="11" w:name="_Toc493610177"/>
      <w:bookmarkStart w:id="12" w:name="_Toc405561964"/>
      <w:r>
        <w:rPr>
          <w:rFonts w:hint="eastAsia" w:ascii="Times New Roman" w:hAnsi="Times New Roman" w:eastAsia="宋体" w:cs="Times New Roman"/>
          <w:b/>
          <w:bCs/>
          <w:color w:val="000000" w:themeColor="text1"/>
          <w:kern w:val="44"/>
          <w:sz w:val="32"/>
          <w:szCs w:val="28"/>
          <w14:textFill>
            <w14:solidFill>
              <w14:schemeClr w14:val="tx1"/>
            </w14:solidFill>
          </w14:textFill>
        </w:rPr>
        <w:t>系统</w:t>
      </w:r>
      <w:r>
        <w:rPr>
          <w:rFonts w:hint="eastAsia" w:ascii="Times New Roman" w:hAnsi="Times New Roman" w:eastAsia="宋体" w:cs="Times New Roman"/>
          <w:b/>
          <w:bCs/>
          <w:color w:val="000000" w:themeColor="text1"/>
          <w:kern w:val="44"/>
          <w:sz w:val="32"/>
          <w:szCs w:val="28"/>
          <w:lang w:eastAsia="zh-CN"/>
          <w14:textFill>
            <w14:solidFill>
              <w14:schemeClr w14:val="tx1"/>
            </w14:solidFill>
          </w14:textFill>
        </w:rPr>
        <w:t>入口及</w:t>
      </w:r>
      <w:r>
        <w:rPr>
          <w:rFonts w:hint="eastAsia" w:ascii="Times New Roman" w:hAnsi="Times New Roman" w:eastAsia="宋体" w:cs="Times New Roman"/>
          <w:b/>
          <w:bCs/>
          <w:color w:val="000000" w:themeColor="text1"/>
          <w:kern w:val="44"/>
          <w:sz w:val="32"/>
          <w:szCs w:val="28"/>
          <w14:textFill>
            <w14:solidFill>
              <w14:schemeClr w14:val="tx1"/>
            </w14:solidFill>
          </w14:textFill>
        </w:rPr>
        <w:t>登录</w:t>
      </w:r>
      <w:bookmarkEnd w:id="7"/>
      <w:bookmarkEnd w:id="8"/>
      <w:bookmarkEnd w:id="9"/>
      <w:bookmarkEnd w:id="10"/>
    </w:p>
    <w:p>
      <w:pPr>
        <w:numPr>
          <w:ilvl w:val="0"/>
          <w:numId w:val="2"/>
        </w:numPr>
        <w:ind w:firstLine="480" w:firstLineChars="200"/>
        <w:rPr>
          <w:rFonts w:hint="default"/>
          <w:color w:val="000000" w:themeColor="text1"/>
          <w:sz w:val="24"/>
          <w:lang w:val="en"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搜索“湖南省人民政府门户网站”或直接在浏览器输入“</w:t>
      </w:r>
      <w:r>
        <w:rPr>
          <w:rFonts w:hint="default"/>
          <w:color w:val="000000" w:themeColor="text1"/>
          <w:sz w:val="24"/>
          <w:lang w:val="en" w:eastAsia="zh-CN"/>
          <w14:textFill>
            <w14:solidFill>
              <w14:schemeClr w14:val="tx1"/>
            </w14:solidFill>
          </w14:textFill>
        </w:rPr>
        <w:t>http://www.hunan.gov.cn</w:t>
      </w:r>
      <w:r>
        <w:rPr>
          <w:rFonts w:hint="eastAsia"/>
          <w:color w:val="000000" w:themeColor="text1"/>
          <w:sz w:val="24"/>
          <w:lang w:val="en-US" w:eastAsia="zh-CN"/>
          <w14:textFill>
            <w14:solidFill>
              <w14:schemeClr w14:val="tx1"/>
            </w14:solidFill>
          </w14:textFill>
        </w:rPr>
        <w:t>”，进入网站后点击“一件事一次办”栏目，进入“一件事一次办专栏网站”（http://zwfw-new.hunan.gov.cn）</w:t>
      </w:r>
    </w:p>
    <w:p>
      <w:pPr>
        <w:numPr>
          <w:ilvl w:val="0"/>
          <w:numId w:val="2"/>
        </w:numPr>
        <w:ind w:firstLine="480" w:firstLineChars="200"/>
        <w:rPr>
          <w:rFonts w:hint="default"/>
          <w:color w:val="000000" w:themeColor="text1"/>
          <w:sz w:val="24"/>
          <w:lang w:val="en" w:eastAsia="zh-CN"/>
          <w14:textFill>
            <w14:solidFill>
              <w14:schemeClr w14:val="tx1"/>
            </w14:solidFill>
          </w14:textFill>
        </w:rPr>
      </w:pPr>
      <w:r>
        <w:rPr>
          <w:rFonts w:hint="eastAsia"/>
          <w:color w:val="000000" w:themeColor="text1"/>
          <w:sz w:val="24"/>
          <w:lang w:val="en" w:eastAsia="zh-CN"/>
          <w14:textFill>
            <w14:solidFill>
              <w14:schemeClr w14:val="tx1"/>
            </w14:solidFill>
          </w14:textFill>
        </w:rPr>
        <w:t>点击“一件事一次办服务专区”，选择“主题式套餐式场景应用</w:t>
      </w:r>
      <w:r>
        <w:rPr>
          <w:rFonts w:hint="eastAsia"/>
          <w:color w:val="000000" w:themeColor="text1"/>
          <w:sz w:val="24"/>
          <w:lang w:val="en-US" w:eastAsia="zh-CN"/>
          <w14:textFill>
            <w14:solidFill>
              <w14:schemeClr w14:val="tx1"/>
            </w14:solidFill>
          </w14:textFill>
        </w:rPr>
        <w:t>-</w:t>
      </w:r>
      <w:r>
        <w:rPr>
          <w:rFonts w:hint="eastAsia"/>
          <w:color w:val="000000" w:themeColor="text1"/>
          <w:sz w:val="24"/>
          <w:lang w:val="en" w:eastAsia="zh-CN"/>
          <w14:textFill>
            <w14:solidFill>
              <w14:schemeClr w14:val="tx1"/>
            </w14:solidFill>
          </w14:textFill>
        </w:rPr>
        <w:t>项目全周期应用”，点击“公共资源交易”，进入到“公共资源交易主题服务”页面。</w:t>
      </w:r>
    </w:p>
    <w:p>
      <w:pPr>
        <w:numPr>
          <w:ilvl w:val="0"/>
          <w:numId w:val="2"/>
        </w:numPr>
        <w:ind w:firstLine="480" w:firstLineChars="200"/>
        <w:rPr>
          <w:rFonts w:hint="default"/>
          <w:color w:val="000000" w:themeColor="text1"/>
          <w:sz w:val="24"/>
          <w:lang w:val="en" w:eastAsia="zh-CN"/>
          <w14:textFill>
            <w14:solidFill>
              <w14:schemeClr w14:val="tx1"/>
            </w14:solidFill>
          </w14:textFill>
        </w:rPr>
      </w:pPr>
      <w:r>
        <w:rPr>
          <w:rFonts w:hint="eastAsia"/>
          <w:color w:val="000000" w:themeColor="text1"/>
          <w:sz w:val="24"/>
          <w:lang w:val="en" w:eastAsia="zh-CN"/>
          <w14:textFill>
            <w14:solidFill>
              <w14:schemeClr w14:val="tx1"/>
            </w14:solidFill>
          </w14:textFill>
        </w:rPr>
        <w:t>交易公告、今日开标信息、办事指南（服务清单、服务指南）无需登录，可直接查询和下载。</w:t>
      </w:r>
    </w:p>
    <w:p>
      <w:pPr>
        <w:numPr>
          <w:ilvl w:val="0"/>
          <w:numId w:val="2"/>
        </w:numPr>
        <w:ind w:firstLine="480" w:firstLineChars="200"/>
        <w:rPr>
          <w:rFonts w:hint="default"/>
          <w:color w:val="000000" w:themeColor="text1"/>
          <w:sz w:val="24"/>
          <w:lang w:val="en" w:eastAsia="zh-CN"/>
          <w14:textFill>
            <w14:solidFill>
              <w14:schemeClr w14:val="tx1"/>
            </w14:solidFill>
          </w14:textFill>
        </w:rPr>
      </w:pPr>
      <w:r>
        <w:rPr>
          <w:rFonts w:hint="eastAsia"/>
          <w:color w:val="000000" w:themeColor="text1"/>
          <w:sz w:val="24"/>
          <w:lang w:val="en" w:eastAsia="zh-CN"/>
          <w14:textFill>
            <w14:solidFill>
              <w14:schemeClr w14:val="tx1"/>
            </w14:solidFill>
          </w14:textFill>
        </w:rPr>
        <w:t>交易项目总揽、立即办理需要用户登录后才能办理。</w:t>
      </w:r>
    </w:p>
    <w:p>
      <w:pPr>
        <w:jc w:val="center"/>
        <w:rPr>
          <w:color w:val="000000" w:themeColor="text1"/>
          <w:sz w:val="24"/>
          <w14:textFill>
            <w14:solidFill>
              <w14:schemeClr w14:val="tx1"/>
            </w14:solidFill>
          </w14:textFill>
        </w:rPr>
      </w:pPr>
      <w:r>
        <w:rPr>
          <w:sz w:val="24"/>
        </w:rPr>
        <w:drawing>
          <wp:inline distT="0" distB="0" distL="0" distR="0">
            <wp:extent cx="3959860" cy="1896745"/>
            <wp:effectExtent l="0" t="0" r="2540" b="8255"/>
            <wp:docPr id="6" name="图片 6" descr="C:\Users\尚小楼\Desktop\02.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C:\Users\尚小楼\Desktop\02.jpg"/>
                    <pic:cNvPicPr>
                      <a:picLocks noChangeAspect="true" noChangeArrowheads="true"/>
                    </pic:cNvPicPr>
                  </pic:nvPicPr>
                  <pic:blipFill>
                    <a:blip r:embed="rId7" cstate="print">
                      <a:extLst>
                        <a:ext uri="{28A0092B-C50C-407E-A947-70E740481C1C}">
                          <a14:useLocalDpi xmlns:a14="http://schemas.microsoft.com/office/drawing/2010/main" val="false"/>
                        </a:ext>
                      </a:extLst>
                    </a:blip>
                    <a:srcRect/>
                    <a:stretch>
                      <a:fillRect/>
                    </a:stretch>
                  </pic:blipFill>
                  <pic:spPr>
                    <a:xfrm>
                      <a:off x="0" y="0"/>
                      <a:ext cx="3960000" cy="1897200"/>
                    </a:xfrm>
                    <a:prstGeom prst="rect">
                      <a:avLst/>
                    </a:prstGeom>
                    <a:noFill/>
                    <a:ln>
                      <a:noFill/>
                    </a:ln>
                  </pic:spPr>
                </pic:pic>
              </a:graphicData>
            </a:graphic>
          </wp:inline>
        </w:drawing>
      </w:r>
    </w:p>
    <w:p>
      <w:pPr>
        <w:ind w:firstLine="480"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5、</w:t>
      </w:r>
      <w:r>
        <w:rPr>
          <w:color w:val="000000" w:themeColor="text1"/>
          <w:sz w:val="24"/>
          <w14:textFill>
            <w14:solidFill>
              <w14:schemeClr w14:val="tx1"/>
            </w14:solidFill>
          </w14:textFill>
        </w:rPr>
        <w:t>点击</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立即办理</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w:t>
      </w:r>
    </w:p>
    <w:p>
      <w:pPr>
        <w:jc w:val="center"/>
        <w:rPr>
          <w:color w:val="000000" w:themeColor="text1"/>
          <w:sz w:val="24"/>
          <w14:textFill>
            <w14:solidFill>
              <w14:schemeClr w14:val="tx1"/>
            </w14:solidFill>
          </w14:textFill>
        </w:rPr>
      </w:pPr>
    </w:p>
    <w:p>
      <w:pPr>
        <w:jc w:val="center"/>
        <w:rPr>
          <w:color w:val="000000" w:themeColor="text1"/>
          <w:sz w:val="24"/>
          <w14:textFill>
            <w14:solidFill>
              <w14:schemeClr w14:val="tx1"/>
            </w14:solidFill>
          </w14:textFill>
        </w:rPr>
      </w:pPr>
      <w:r>
        <w:rPr>
          <w:sz w:val="24"/>
        </w:rPr>
        <w:drawing>
          <wp:inline distT="0" distB="0" distL="0" distR="0">
            <wp:extent cx="3959860" cy="1893570"/>
            <wp:effectExtent l="0" t="0" r="2540" b="11430"/>
            <wp:docPr id="7"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true"/>
                    </pic:cNvPicPr>
                  </pic:nvPicPr>
                  <pic:blipFill>
                    <a:blip r:embed="rId8"/>
                    <a:stretch>
                      <a:fillRect/>
                    </a:stretch>
                  </pic:blipFill>
                  <pic:spPr>
                    <a:xfrm>
                      <a:off x="0" y="0"/>
                      <a:ext cx="3960000" cy="1893600"/>
                    </a:xfrm>
                    <a:prstGeom prst="rect">
                      <a:avLst/>
                    </a:prstGeom>
                  </pic:spPr>
                </pic:pic>
              </a:graphicData>
            </a:graphic>
          </wp:inline>
        </w:drawing>
      </w:r>
    </w:p>
    <w:p>
      <w:pPr>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选择</w:t>
      </w:r>
      <w:r>
        <w:rPr>
          <w:rFonts w:hint="eastAsia"/>
          <w:color w:val="000000" w:themeColor="text1"/>
          <w:sz w:val="24"/>
          <w14:textFill>
            <w14:solidFill>
              <w14:schemeClr w14:val="tx1"/>
            </w14:solidFill>
          </w14:textFill>
        </w:rPr>
        <w:t>湖南省</w:t>
      </w:r>
      <w:r>
        <w:rPr>
          <w:color w:val="000000" w:themeColor="text1"/>
          <w:sz w:val="24"/>
          <w14:textFill>
            <w14:solidFill>
              <w14:schemeClr w14:val="tx1"/>
            </w14:solidFill>
          </w14:textFill>
        </w:rPr>
        <w:t>公共资源交易平台登录</w:t>
      </w:r>
      <w:r>
        <w:rPr>
          <w:rFonts w:hint="eastAsia"/>
          <w:color w:val="000000" w:themeColor="text1"/>
          <w:sz w:val="24"/>
          <w14:textFill>
            <w14:solidFill>
              <w14:schemeClr w14:val="tx1"/>
            </w14:solidFill>
          </w14:textFill>
        </w:rPr>
        <w:t>。</w:t>
      </w:r>
    </w:p>
    <w:p>
      <w:pPr>
        <w:jc w:val="center"/>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drawing>
          <wp:inline distT="0" distB="0" distL="0" distR="0">
            <wp:extent cx="3959860" cy="1896745"/>
            <wp:effectExtent l="0" t="0" r="2540" b="8255"/>
            <wp:docPr id="11" name="图片 11" descr="C:\Users\尚小楼\Desktop\03.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descr="C:\Users\尚小楼\Desktop\03.jpg"/>
                    <pic:cNvPicPr>
                      <a:picLocks noChangeAspect="true" noChangeArrowheads="true"/>
                    </pic:cNvPicPr>
                  </pic:nvPicPr>
                  <pic:blipFill>
                    <a:blip r:embed="rId9" cstate="print">
                      <a:extLst>
                        <a:ext uri="{28A0092B-C50C-407E-A947-70E740481C1C}">
                          <a14:useLocalDpi xmlns:a14="http://schemas.microsoft.com/office/drawing/2010/main" val="false"/>
                        </a:ext>
                      </a:extLst>
                    </a:blip>
                    <a:srcRect/>
                    <a:stretch>
                      <a:fillRect/>
                    </a:stretch>
                  </pic:blipFill>
                  <pic:spPr>
                    <a:xfrm>
                      <a:off x="0" y="0"/>
                      <a:ext cx="3960000" cy="1897200"/>
                    </a:xfrm>
                    <a:prstGeom prst="rect">
                      <a:avLst/>
                    </a:prstGeom>
                    <a:noFill/>
                    <a:ln>
                      <a:noFill/>
                    </a:ln>
                  </pic:spPr>
                </pic:pic>
              </a:graphicData>
            </a:graphic>
          </wp:inline>
        </w:drawing>
      </w:r>
    </w:p>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完成交易主体类型选择、交易类型选择及行业选择。</w:t>
      </w:r>
    </w:p>
    <w:p>
      <w:pPr>
        <w:jc w:val="center"/>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drawing>
          <wp:inline distT="0" distB="0" distL="0" distR="0">
            <wp:extent cx="3959860" cy="1900555"/>
            <wp:effectExtent l="0" t="0" r="2540" b="4445"/>
            <wp:docPr id="19" name="图片 1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true"/>
                    </pic:cNvPicPr>
                  </pic:nvPicPr>
                  <pic:blipFill>
                    <a:blip r:embed="rId10" cstate="print">
                      <a:extLst>
                        <a:ext uri="{28A0092B-C50C-407E-A947-70E740481C1C}">
                          <a14:useLocalDpi xmlns:a14="http://schemas.microsoft.com/office/drawing/2010/main" val="false"/>
                        </a:ext>
                      </a:extLst>
                    </a:blip>
                    <a:stretch>
                      <a:fillRect/>
                    </a:stretch>
                  </pic:blipFill>
                  <pic:spPr>
                    <a:xfrm>
                      <a:off x="0" y="0"/>
                      <a:ext cx="3960000" cy="1900800"/>
                    </a:xfrm>
                    <a:prstGeom prst="rect">
                      <a:avLst/>
                    </a:prstGeom>
                  </pic:spPr>
                </pic:pic>
              </a:graphicData>
            </a:graphic>
          </wp:inline>
        </w:drawing>
      </w:r>
    </w:p>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完成前序工作后，即可进入具体办事环节。</w:t>
      </w:r>
    </w:p>
    <w:p>
      <w:pPr>
        <w:jc w:val="center"/>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drawing>
          <wp:inline distT="0" distB="0" distL="0" distR="0">
            <wp:extent cx="3959860" cy="1900555"/>
            <wp:effectExtent l="0" t="0" r="2540" b="4445"/>
            <wp:docPr id="20" name="图片 2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true"/>
                    </pic:cNvPicPr>
                  </pic:nvPicPr>
                  <pic:blipFill>
                    <a:blip r:embed="rId11" cstate="print">
                      <a:extLst>
                        <a:ext uri="{28A0092B-C50C-407E-A947-70E740481C1C}">
                          <a14:useLocalDpi xmlns:a14="http://schemas.microsoft.com/office/drawing/2010/main" val="false"/>
                        </a:ext>
                      </a:extLst>
                    </a:blip>
                    <a:stretch>
                      <a:fillRect/>
                    </a:stretch>
                  </pic:blipFill>
                  <pic:spPr>
                    <a:xfrm>
                      <a:off x="0" y="0"/>
                      <a:ext cx="3960000" cy="1900800"/>
                    </a:xfrm>
                    <a:prstGeom prst="rect">
                      <a:avLst/>
                    </a:prstGeom>
                  </pic:spPr>
                </pic:pic>
              </a:graphicData>
            </a:graphic>
          </wp:inline>
        </w:drawing>
      </w:r>
    </w:p>
    <w:p>
      <w:pPr>
        <w:ind w:firstLine="481" w:firstLineChars="200"/>
        <w:jc w:val="left"/>
        <w:rPr>
          <w:rFonts w:ascii="仿宋" w:hAnsi="仿宋" w:eastAsia="仿宋"/>
          <w:b/>
          <w:color w:val="000000" w:themeColor="text1"/>
          <w:sz w:val="32"/>
          <w:szCs w:val="32"/>
          <w14:textFill>
            <w14:solidFill>
              <w14:schemeClr w14:val="tx1"/>
            </w14:solidFill>
          </w14:textFill>
        </w:rPr>
      </w:pPr>
      <w:r>
        <w:rPr>
          <w:rFonts w:hint="eastAsia"/>
          <w:b/>
          <w:bCs/>
          <w:color w:val="000000" w:themeColor="text1"/>
          <w:sz w:val="24"/>
          <w:lang w:eastAsia="zh-CN"/>
          <w14:textFill>
            <w14:solidFill>
              <w14:schemeClr w14:val="tx1"/>
            </w14:solidFill>
          </w14:textFill>
        </w:rPr>
        <w:t>注意：</w:t>
      </w:r>
      <w:r>
        <w:rPr>
          <w:rFonts w:hint="eastAsia"/>
          <w:color w:val="000000" w:themeColor="text1"/>
          <w:sz w:val="24"/>
          <w14:textFill>
            <w14:solidFill>
              <w14:schemeClr w14:val="tx1"/>
            </w14:solidFill>
          </w14:textFill>
        </w:rPr>
        <w:t>未注册账号的用户，请</w:t>
      </w:r>
      <w:r>
        <w:rPr>
          <w:rFonts w:hint="eastAsia"/>
          <w:color w:val="000000" w:themeColor="text1"/>
          <w:sz w:val="24"/>
          <w:lang w:eastAsia="zh-CN"/>
          <w14:textFill>
            <w14:solidFill>
              <w14:schemeClr w14:val="tx1"/>
            </w14:solidFill>
          </w14:textFill>
        </w:rPr>
        <w:t>通过系统引导进行注册，并跳转至“公共资源交易统一注册平台”完善相关信息，完成相关实名制信息</w:t>
      </w:r>
      <w:r>
        <w:rPr>
          <w:rFonts w:hint="eastAsia"/>
          <w:color w:val="000000" w:themeColor="text1"/>
          <w:sz w:val="24"/>
          <w14:textFill>
            <w14:solidFill>
              <w14:schemeClr w14:val="tx1"/>
            </w14:solidFill>
          </w14:textFill>
        </w:rPr>
        <w:t>。已注册账号的用户直接登录交易系统，无需重复注册。</w:t>
      </w:r>
    </w:p>
    <w:p>
      <w:pPr>
        <w:keepNext w:val="0"/>
        <w:keepLines w:val="0"/>
        <w:widowControl/>
        <w:suppressLineNumbers w:val="0"/>
        <w:ind w:firstLine="480" w:firstLineChars="200"/>
        <w:jc w:val="left"/>
      </w:pPr>
      <w:r>
        <w:rPr>
          <w:rFonts w:hint="eastAsia"/>
          <w:color w:val="FF0000"/>
          <w:sz w:val="24"/>
          <w:highlight w:val="yellow"/>
          <w:shd w:val="clear" w:color="auto" w:fill="FFC000"/>
        </w:rPr>
        <w:t>温馨提示</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若登录注册平台提示已注册，交易系统又提示</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“未匹配到</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***单位主体信息”，请先到注册平台</w:t>
      </w:r>
      <w:r>
        <w:rPr>
          <w:rFonts w:hint="eastAsia"/>
          <w:color w:val="000000" w:themeColor="text1"/>
          <w:sz w:val="24"/>
          <w:lang w:eastAsia="zh-CN"/>
          <w14:textFill>
            <w14:solidFill>
              <w14:schemeClr w14:val="tx1"/>
            </w14:solidFill>
          </w14:textFill>
        </w:rPr>
        <w:t>（http://222.240.80.14:8888/G2/）</w:t>
      </w:r>
      <w:r>
        <w:rPr>
          <w:color w:val="000000" w:themeColor="text1"/>
          <w:sz w:val="24"/>
          <w14:textFill>
            <w14:solidFill>
              <w14:schemeClr w14:val="tx1"/>
            </w14:solidFill>
          </w14:textFill>
        </w:rPr>
        <w:t>找回账号密码后，登录注册平台完善信息提交之后</w:t>
      </w:r>
      <w:r>
        <w:rPr>
          <w:rFonts w:hint="eastAsia"/>
          <w:color w:val="000000" w:themeColor="text1"/>
          <w:sz w:val="24"/>
          <w14:textFill>
            <w14:solidFill>
              <w14:schemeClr w14:val="tx1"/>
            </w14:solidFill>
          </w14:textFill>
        </w:rPr>
        <w:t>，再尝试登录湖南一件事一次办“公共资源交易”一件事主题服务网站</w:t>
      </w:r>
      <w:r>
        <w:rPr>
          <w:rFonts w:hint="eastAsia"/>
          <w:color w:val="000000" w:themeColor="text1"/>
          <w:sz w:val="24"/>
          <w:lang w:eastAsia="zh-CN"/>
          <w14:textFill>
            <w14:solidFill>
              <w14:schemeClr w14:val="tx1"/>
            </w14:solidFill>
          </w14:textFill>
        </w:rPr>
        <w:t>，统一注册平台使用技术支持电话：</w:t>
      </w:r>
      <w:r>
        <w:rPr>
          <w:rFonts w:hint="eastAsia"/>
          <w:color w:val="000000" w:themeColor="text1"/>
          <w:sz w:val="24"/>
          <w:lang w:val="en-US" w:eastAsia="zh-CN"/>
          <w14:textFill>
            <w14:solidFill>
              <w14:schemeClr w14:val="tx1"/>
            </w14:solidFill>
          </w14:textFill>
        </w:rPr>
        <w:t>19372007716。</w:t>
      </w:r>
    </w:p>
    <w:p>
      <w:pPr>
        <w:ind w:firstLine="480" w:firstLineChars="200"/>
        <w:jc w:val="left"/>
        <w:rPr>
          <w:color w:val="000000" w:themeColor="text1"/>
          <w14:textFill>
            <w14:solidFill>
              <w14:schemeClr w14:val="tx1"/>
            </w14:solidFill>
          </w14:textFill>
        </w:rPr>
      </w:pPr>
    </w:p>
    <w:p>
      <w:pPr>
        <w:jc w:val="center"/>
      </w:pPr>
    </w:p>
    <w:p>
      <w:pPr>
        <w:keepNext/>
        <w:keepLines/>
        <w:numPr>
          <w:ilvl w:val="0"/>
          <w:numId w:val="1"/>
        </w:numPr>
        <w:tabs>
          <w:tab w:val="left" w:pos="425"/>
        </w:tabs>
        <w:outlineLvl w:val="0"/>
        <w:rPr>
          <w:rFonts w:hint="eastAsia" w:ascii="Times New Roman" w:hAnsi="Times New Roman" w:eastAsia="宋体" w:cs="Times New Roman"/>
          <w:b/>
          <w:bCs/>
          <w:color w:val="000000" w:themeColor="text1"/>
          <w:kern w:val="44"/>
          <w:sz w:val="32"/>
          <w:szCs w:val="28"/>
          <w:lang w:eastAsia="zh-CN"/>
          <w14:textFill>
            <w14:solidFill>
              <w14:schemeClr w14:val="tx1"/>
            </w14:solidFill>
          </w14:textFill>
        </w:rPr>
      </w:pPr>
      <w:bookmarkStart w:id="13" w:name="_Toc1307927100"/>
      <w:r>
        <w:rPr>
          <w:rFonts w:hint="eastAsia" w:ascii="Times New Roman" w:hAnsi="Times New Roman" w:eastAsia="宋体" w:cs="Times New Roman"/>
          <w:b/>
          <w:bCs/>
          <w:color w:val="000000" w:themeColor="text1"/>
          <w:kern w:val="44"/>
          <w:sz w:val="32"/>
          <w:szCs w:val="28"/>
          <w:lang w:eastAsia="zh-CN"/>
          <w14:textFill>
            <w14:solidFill>
              <w14:schemeClr w14:val="tx1"/>
            </w14:solidFill>
          </w14:textFill>
        </w:rPr>
        <w:t>签订委托协议（集中采购项目）</w:t>
      </w:r>
      <w:bookmarkEnd w:id="13"/>
    </w:p>
    <w:p>
      <w:pPr>
        <w:numPr>
          <w:ilvl w:val="0"/>
          <w:numId w:val="0"/>
        </w:numPr>
        <w:ind w:firstLine="480"/>
        <w:jc w:val="both"/>
        <w:rPr>
          <w:rFonts w:hint="eastAsia"/>
          <w:lang w:eastAsia="zh-CN"/>
        </w:rPr>
      </w:pPr>
      <w:r>
        <w:rPr>
          <w:rFonts w:hint="eastAsia"/>
          <w:lang w:eastAsia="zh-CN"/>
        </w:rPr>
        <w:t>采购人登录公共资源交易电子交易平台，完成项目分包组建、需求填报，填报入口如下图：</w:t>
      </w:r>
    </w:p>
    <w:p>
      <w:pPr>
        <w:numPr>
          <w:ilvl w:val="0"/>
          <w:numId w:val="0"/>
        </w:numPr>
        <w:ind w:firstLine="480"/>
        <w:jc w:val="both"/>
        <w:rPr>
          <w:rFonts w:hint="eastAsia"/>
          <w:lang w:eastAsia="zh-CN"/>
        </w:rPr>
      </w:pPr>
      <w:r>
        <w:drawing>
          <wp:inline distT="0" distB="0" distL="114300" distR="114300">
            <wp:extent cx="4867910" cy="4480560"/>
            <wp:effectExtent l="0" t="0" r="8890" b="15240"/>
            <wp:docPr id="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true"/>
                    </pic:cNvPicPr>
                  </pic:nvPicPr>
                  <pic:blipFill>
                    <a:blip r:embed="rId12"/>
                    <a:stretch>
                      <a:fillRect/>
                    </a:stretch>
                  </pic:blipFill>
                  <pic:spPr>
                    <a:xfrm>
                      <a:off x="0" y="0"/>
                      <a:ext cx="4867910" cy="4480560"/>
                    </a:xfrm>
                    <a:prstGeom prst="rect">
                      <a:avLst/>
                    </a:prstGeom>
                    <a:noFill/>
                    <a:ln>
                      <a:noFill/>
                    </a:ln>
                  </pic:spPr>
                </pic:pic>
              </a:graphicData>
            </a:graphic>
          </wp:inline>
        </w:drawing>
      </w:r>
    </w:p>
    <w:p>
      <w:pPr>
        <w:numPr>
          <w:ilvl w:val="0"/>
          <w:numId w:val="0"/>
        </w:numPr>
        <w:ind w:firstLine="480" w:firstLineChars="200"/>
        <w:jc w:val="both"/>
        <w:rPr>
          <w:rFonts w:hint="eastAsia"/>
          <w:lang w:eastAsia="zh-CN"/>
        </w:rPr>
      </w:pPr>
      <w:r>
        <w:rPr>
          <w:rFonts w:hint="eastAsia"/>
          <w:lang w:val="en-US" w:eastAsia="zh-CN"/>
        </w:rPr>
        <w:t>1、</w:t>
      </w:r>
      <w:r>
        <w:rPr>
          <w:rFonts w:hint="eastAsia"/>
          <w:lang w:eastAsia="zh-CN"/>
        </w:rPr>
        <w:t>进入系统后，新增采购项目分包组建，根据项目情况完成分包组建（拆分包及预算）工作；</w:t>
      </w:r>
    </w:p>
    <w:p>
      <w:pPr>
        <w:numPr>
          <w:ilvl w:val="0"/>
          <w:numId w:val="0"/>
        </w:numPr>
        <w:jc w:val="both"/>
        <w:rPr>
          <w:rFonts w:hint="eastAsia"/>
          <w:lang w:eastAsia="zh-CN"/>
        </w:rPr>
      </w:pPr>
      <w:r>
        <w:rPr>
          <w:rFonts w:hint="eastAsia"/>
          <w:lang w:val="en-US" w:eastAsia="zh-CN"/>
        </w:rPr>
        <w:t xml:space="preserve">    2、</w:t>
      </w:r>
      <w:r>
        <w:rPr>
          <w:rFonts w:hint="eastAsia"/>
          <w:lang w:eastAsia="zh-CN"/>
        </w:rPr>
        <w:t>分包组建的金额之和应等于项目总预算金额，最高限价可以小于分包预算金额；</w:t>
      </w:r>
    </w:p>
    <w:p>
      <w:pPr>
        <w:numPr>
          <w:ilvl w:val="0"/>
          <w:numId w:val="0"/>
        </w:numPr>
        <w:jc w:val="both"/>
        <w:rPr>
          <w:rFonts w:hint="eastAsia"/>
          <w:lang w:eastAsia="zh-CN"/>
        </w:rPr>
      </w:pPr>
      <w:r>
        <w:rPr>
          <w:rFonts w:hint="eastAsia"/>
          <w:lang w:val="en-US" w:eastAsia="zh-CN"/>
        </w:rPr>
        <w:t xml:space="preserve">    3、</w:t>
      </w:r>
      <w:r>
        <w:rPr>
          <w:rFonts w:hint="eastAsia"/>
          <w:lang w:eastAsia="zh-CN"/>
        </w:rPr>
        <w:t>分包组建完成后，需求填报提交前，如有修改，自行使用回退功能进行回退，需求填报提交后，无法回退；</w:t>
      </w:r>
    </w:p>
    <w:p>
      <w:pPr>
        <w:numPr>
          <w:ilvl w:val="0"/>
          <w:numId w:val="0"/>
        </w:numPr>
        <w:jc w:val="both"/>
        <w:rPr>
          <w:rFonts w:hint="eastAsia"/>
          <w:lang w:eastAsia="zh-CN"/>
        </w:rPr>
      </w:pPr>
      <w:r>
        <w:rPr>
          <w:rFonts w:hint="eastAsia"/>
          <w:lang w:val="en-US" w:eastAsia="zh-CN"/>
        </w:rPr>
        <w:t xml:space="preserve">    4、</w:t>
      </w:r>
      <w:r>
        <w:rPr>
          <w:rFonts w:hint="eastAsia"/>
          <w:lang w:eastAsia="zh-CN"/>
        </w:rPr>
        <w:t>完成分包组建后，进入“需求填报”入口完成各包采购需求（供应商资格条件设置、政府采购政策功能使用、采购内容与要求、综合评分表设定）的填报工作；</w:t>
      </w:r>
    </w:p>
    <w:p>
      <w:pPr>
        <w:numPr>
          <w:ilvl w:val="0"/>
          <w:numId w:val="0"/>
        </w:numPr>
        <w:jc w:val="both"/>
        <w:rPr>
          <w:rFonts w:hint="eastAsia"/>
          <w:lang w:eastAsia="zh-CN"/>
        </w:rPr>
      </w:pPr>
      <w:r>
        <w:rPr>
          <w:rFonts w:hint="eastAsia"/>
          <w:lang w:val="en-US" w:eastAsia="zh-CN"/>
        </w:rPr>
        <w:t xml:space="preserve">    5、</w:t>
      </w:r>
      <w:r>
        <w:rPr>
          <w:rFonts w:hint="eastAsia"/>
          <w:lang w:eastAsia="zh-CN"/>
        </w:rPr>
        <w:t>招标文件内容应与交易系统设置保持一致（如自动计分公式、政府采购政策加分公式、客观分、主观分等的设置），否则将导致评标无法进行或评审错误；</w:t>
      </w:r>
    </w:p>
    <w:p>
      <w:pPr>
        <w:numPr>
          <w:ilvl w:val="0"/>
          <w:numId w:val="0"/>
        </w:numPr>
        <w:jc w:val="both"/>
        <w:rPr>
          <w:rFonts w:hint="eastAsia"/>
          <w:lang w:eastAsia="zh-CN"/>
        </w:rPr>
      </w:pPr>
      <w:r>
        <w:rPr>
          <w:rFonts w:hint="eastAsia"/>
          <w:lang w:val="en-US" w:eastAsia="zh-CN"/>
        </w:rPr>
        <w:t xml:space="preserve">    6、</w:t>
      </w:r>
      <w:r>
        <w:rPr>
          <w:rFonts w:hint="eastAsia"/>
          <w:lang w:eastAsia="zh-CN"/>
        </w:rPr>
        <w:t xml:space="preserve">已进行需求填报的项目，不能再进行分包组建。                     </w:t>
      </w:r>
    </w:p>
    <w:p>
      <w:pPr>
        <w:numPr>
          <w:ilvl w:val="0"/>
          <w:numId w:val="0"/>
        </w:numPr>
        <w:ind w:firstLine="480"/>
        <w:jc w:val="both"/>
        <w:rPr>
          <w:rFonts w:hint="eastAsia"/>
          <w:lang w:eastAsia="zh-CN"/>
        </w:rPr>
      </w:pPr>
      <w:r>
        <w:rPr>
          <w:rFonts w:hint="eastAsia"/>
          <w:lang w:val="en-US" w:eastAsia="zh-CN"/>
        </w:rPr>
        <w:t>7、</w:t>
      </w:r>
      <w:r>
        <w:rPr>
          <w:rFonts w:hint="eastAsia"/>
          <w:lang w:eastAsia="zh-CN"/>
        </w:rPr>
        <w:t>采购人完成需求填报后，进入“委托协议”入口选择确定委托代理相关事项，生成委托协议并加盖单位电子公章。</w:t>
      </w:r>
    </w:p>
    <w:p>
      <w:pPr>
        <w:numPr>
          <w:ilvl w:val="0"/>
          <w:numId w:val="0"/>
        </w:numPr>
        <w:ind w:firstLine="480"/>
        <w:jc w:val="both"/>
        <w:rPr>
          <w:rFonts w:hint="eastAsia"/>
          <w:lang w:eastAsia="zh-CN"/>
        </w:rPr>
      </w:pPr>
      <w:r>
        <w:rPr>
          <w:rFonts w:hint="eastAsia"/>
          <w:lang w:eastAsia="zh-CN"/>
        </w:rPr>
        <w:t>特别提醒：省交易中心项目受理人员对项目采购需求信息要件或委托事项进行核验，符合要求的予以受理，均在1个工作日内完成核验及委托协议的签订工作；对要件不全、不符合要求的予以退回，并“一次性”告知具体原因和补充内容。</w:t>
      </w:r>
    </w:p>
    <w:p>
      <w:pPr>
        <w:numPr>
          <w:ilvl w:val="0"/>
          <w:numId w:val="0"/>
        </w:numPr>
        <w:ind w:firstLine="480"/>
        <w:jc w:val="both"/>
        <w:rPr>
          <w:rFonts w:hint="eastAsia"/>
          <w:lang w:eastAsia="zh-CN"/>
        </w:rPr>
      </w:pPr>
    </w:p>
    <w:p>
      <w:pPr>
        <w:keepNext/>
        <w:keepLines/>
        <w:numPr>
          <w:ilvl w:val="0"/>
          <w:numId w:val="1"/>
        </w:numPr>
        <w:tabs>
          <w:tab w:val="left" w:pos="425"/>
        </w:tabs>
        <w:outlineLvl w:val="0"/>
        <w:rPr>
          <w:rFonts w:hint="eastAsia" w:ascii="Times New Roman" w:hAnsi="Times New Roman" w:eastAsia="宋体" w:cs="Times New Roman"/>
          <w:b/>
          <w:bCs/>
          <w:color w:val="000000" w:themeColor="text1"/>
          <w:kern w:val="44"/>
          <w:sz w:val="32"/>
          <w:szCs w:val="28"/>
          <w:lang w:eastAsia="zh-CN"/>
          <w14:textFill>
            <w14:solidFill>
              <w14:schemeClr w14:val="tx1"/>
            </w14:solidFill>
          </w14:textFill>
        </w:rPr>
      </w:pPr>
      <w:bookmarkStart w:id="14" w:name="_Toc1573133313"/>
      <w:r>
        <w:rPr>
          <w:rFonts w:hint="eastAsia" w:ascii="Times New Roman" w:hAnsi="Times New Roman" w:eastAsia="宋体" w:cs="Times New Roman"/>
          <w:b/>
          <w:bCs/>
          <w:color w:val="000000" w:themeColor="text1"/>
          <w:kern w:val="44"/>
          <w:sz w:val="32"/>
          <w:szCs w:val="28"/>
          <w:lang w:eastAsia="zh-CN"/>
          <w14:textFill>
            <w14:solidFill>
              <w14:schemeClr w14:val="tx1"/>
            </w14:solidFill>
          </w14:textFill>
        </w:rPr>
        <w:t>质疑答复（集中采购项目）</w:t>
      </w:r>
      <w:bookmarkEnd w:id="14"/>
    </w:p>
    <w:p>
      <w:pPr>
        <w:numPr>
          <w:ilvl w:val="0"/>
          <w:numId w:val="0"/>
        </w:numPr>
        <w:ind w:leftChars="0" w:firstLine="480"/>
        <w:jc w:val="both"/>
        <w:rPr>
          <w:rFonts w:hint="eastAsia"/>
          <w:lang w:eastAsia="zh-CN"/>
        </w:rPr>
      </w:pPr>
      <w:r>
        <w:rPr>
          <w:rFonts w:hint="eastAsia"/>
          <w:lang w:val="en-US" w:eastAsia="zh-CN"/>
        </w:rPr>
        <w:t>投标人</w:t>
      </w:r>
      <w:r>
        <w:rPr>
          <w:rFonts w:hint="eastAsia"/>
          <w:lang w:eastAsia="zh-CN"/>
        </w:rPr>
        <w:t>对招标文件提出质疑的，采购人在签收质疑后7个工作日内应完成质疑答复；投标人对开评标过程及评标结果提出质疑的，采购人在签收质疑后7个工作日内应完成质疑答复。登录入口如下图：</w:t>
      </w:r>
    </w:p>
    <w:p>
      <w:pPr>
        <w:numPr>
          <w:ilvl w:val="0"/>
          <w:numId w:val="0"/>
        </w:numPr>
        <w:ind w:leftChars="0" w:firstLine="480"/>
        <w:jc w:val="both"/>
      </w:pPr>
      <w:r>
        <w:drawing>
          <wp:inline distT="0" distB="0" distL="114300" distR="114300">
            <wp:extent cx="4961255" cy="3855085"/>
            <wp:effectExtent l="0" t="0" r="10795" b="12065"/>
            <wp:docPr id="13"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true"/>
                    </pic:cNvPicPr>
                  </pic:nvPicPr>
                  <pic:blipFill>
                    <a:blip r:embed="rId13"/>
                    <a:stretch>
                      <a:fillRect/>
                    </a:stretch>
                  </pic:blipFill>
                  <pic:spPr>
                    <a:xfrm>
                      <a:off x="0" y="0"/>
                      <a:ext cx="4961255" cy="3855085"/>
                    </a:xfrm>
                    <a:prstGeom prst="rect">
                      <a:avLst/>
                    </a:prstGeom>
                    <a:noFill/>
                    <a:ln>
                      <a:noFill/>
                    </a:ln>
                  </pic:spPr>
                </pic:pic>
              </a:graphicData>
            </a:graphic>
          </wp:inline>
        </w:drawing>
      </w:r>
    </w:p>
    <w:p>
      <w:pPr>
        <w:numPr>
          <w:ilvl w:val="0"/>
          <w:numId w:val="0"/>
        </w:numPr>
        <w:ind w:leftChars="0" w:firstLine="480"/>
        <w:jc w:val="both"/>
        <w:rPr>
          <w:rFonts w:hint="eastAsia"/>
          <w:lang w:eastAsia="zh-CN"/>
        </w:rPr>
      </w:pPr>
      <w:r>
        <w:rPr>
          <w:rFonts w:hint="eastAsia"/>
          <w:color w:val="FF0000"/>
          <w:sz w:val="24"/>
          <w:highlight w:val="yellow"/>
          <w:shd w:val="clear" w:color="auto" w:fill="FFC000"/>
        </w:rPr>
        <w:t>温馨提示</w:t>
      </w:r>
      <w:r>
        <w:rPr>
          <w:rFonts w:hint="eastAsia"/>
          <w:lang w:eastAsia="zh-CN"/>
        </w:rPr>
        <w:t>：采购人未在规定的时间内回复质疑的，承担相应的法律责任；质疑回复没有加盖单位电子公章的质疑答复无效。</w:t>
      </w:r>
    </w:p>
    <w:p>
      <w:pPr>
        <w:numPr>
          <w:ilvl w:val="0"/>
          <w:numId w:val="0"/>
        </w:numPr>
        <w:ind w:leftChars="0" w:firstLine="480"/>
        <w:jc w:val="both"/>
        <w:rPr>
          <w:rFonts w:hint="eastAsia"/>
          <w:lang w:eastAsia="zh-CN"/>
        </w:rPr>
      </w:pPr>
    </w:p>
    <w:p>
      <w:pPr>
        <w:keepNext/>
        <w:keepLines/>
        <w:numPr>
          <w:ilvl w:val="0"/>
          <w:numId w:val="1"/>
        </w:numPr>
        <w:tabs>
          <w:tab w:val="left" w:pos="425"/>
        </w:tabs>
        <w:outlineLvl w:val="0"/>
        <w:rPr>
          <w:rFonts w:hint="eastAsia" w:ascii="Times New Roman" w:hAnsi="Times New Roman" w:eastAsia="宋体" w:cs="Times New Roman"/>
          <w:b/>
          <w:bCs/>
          <w:color w:val="000000" w:themeColor="text1"/>
          <w:kern w:val="44"/>
          <w:sz w:val="32"/>
          <w:szCs w:val="28"/>
          <w:lang w:eastAsia="zh-CN"/>
          <w14:textFill>
            <w14:solidFill>
              <w14:schemeClr w14:val="tx1"/>
            </w14:solidFill>
          </w14:textFill>
        </w:rPr>
      </w:pPr>
      <w:bookmarkStart w:id="15" w:name="_Toc80049648"/>
      <w:r>
        <w:rPr>
          <w:rFonts w:hint="eastAsia" w:ascii="Times New Roman" w:hAnsi="Times New Roman" w:eastAsia="宋体" w:cs="Times New Roman"/>
          <w:b/>
          <w:bCs/>
          <w:color w:val="000000" w:themeColor="text1"/>
          <w:kern w:val="44"/>
          <w:sz w:val="32"/>
          <w:szCs w:val="28"/>
          <w:lang w:eastAsia="zh-CN"/>
          <w14:textFill>
            <w14:solidFill>
              <w14:schemeClr w14:val="tx1"/>
            </w14:solidFill>
          </w14:textFill>
        </w:rPr>
        <w:t>采购人代表及监督人员入区操作流程</w:t>
      </w:r>
      <w:bookmarkEnd w:id="15"/>
    </w:p>
    <w:p>
      <w:pPr>
        <w:pStyle w:val="3"/>
        <w:numPr>
          <w:ilvl w:val="1"/>
          <w:numId w:val="0"/>
        </w:numPr>
        <w:ind w:leftChars="0"/>
        <w:outlineLvl w:val="1"/>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bookmarkStart w:id="16" w:name="_Toc137025139"/>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bookmarkEnd w:id="16"/>
    </w:p>
    <w:p>
      <w:pPr>
        <w:pStyle w:val="3"/>
        <w:numPr>
          <w:ilvl w:val="1"/>
          <w:numId w:val="0"/>
        </w:numPr>
        <w:ind w:leftChars="0"/>
        <w:outlineLvl w:val="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bookmarkStart w:id="17" w:name="_Toc1310925739"/>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default" w:asciiTheme="minorEastAsia" w:hAnsiTheme="minorEastAsia" w:eastAsiaTheme="minorEastAsia" w:cstheme="minorEastAsia"/>
          <w:color w:val="000000" w:themeColor="text1"/>
          <w:sz w:val="24"/>
          <w:szCs w:val="24"/>
          <w:lang w:val="en" w:eastAsia="zh-CN"/>
          <w14:textFill>
            <w14:solidFill>
              <w14:schemeClr w14:val="tx1"/>
            </w14:solidFill>
          </w14:textFill>
        </w:rPr>
        <w:t>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场监督人员信息录入</w:t>
      </w:r>
      <w:bookmarkEnd w:id="17"/>
    </w:p>
    <w:p>
      <w:pPr>
        <w:jc w:val="both"/>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项目开标前，采购人</w:t>
      </w:r>
      <w:r>
        <w:rPr>
          <w:rFonts w:hint="eastAsia" w:asciiTheme="minorEastAsia" w:hAnsiTheme="minorEastAsia" w:cstheme="minorEastAsia"/>
          <w:color w:val="000000" w:themeColor="text1"/>
          <w:spacing w:val="4"/>
          <w:sz w:val="24"/>
          <w:szCs w:val="24"/>
          <w:lang w:eastAsia="zh-CN"/>
          <w14:textFill>
            <w14:solidFill>
              <w14:schemeClr w14:val="tx1"/>
            </w14:solidFill>
          </w14:textFill>
        </w:rPr>
        <w:t>应</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在电子交易系统填写并提交该项目监督人员</w:t>
      </w:r>
      <w:r>
        <w:rPr>
          <w:rFonts w:hint="eastAsia" w:asciiTheme="minorEastAsia" w:hAnsiTheme="minorEastAsia" w:cstheme="minorEastAsia"/>
          <w:color w:val="000000" w:themeColor="text1"/>
          <w:spacing w:val="4"/>
          <w:sz w:val="24"/>
          <w:szCs w:val="24"/>
          <w:lang w:eastAsia="zh-CN"/>
          <w14:textFill>
            <w14:solidFill>
              <w14:schemeClr w14:val="tx1"/>
            </w14:solidFill>
          </w14:textFill>
        </w:rPr>
        <w:t>相关</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信息</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。登录入口如下图：</w:t>
      </w:r>
    </w:p>
    <w:p>
      <w:pPr>
        <w:jc w:val="center"/>
        <w:rPr>
          <w:sz w:val="24"/>
        </w:rPr>
      </w:pPr>
    </w:p>
    <w:p>
      <w:pPr>
        <w:jc w:val="center"/>
      </w:pPr>
      <w:r>
        <w:rPr>
          <w:sz w:val="24"/>
        </w:rPr>
        <mc:AlternateContent>
          <mc:Choice Requires="wps">
            <w:drawing>
              <wp:anchor distT="0" distB="0" distL="114300" distR="114300" simplePos="0" relativeHeight="251658240" behindDoc="0" locked="0" layoutInCell="1" allowOverlap="1">
                <wp:simplePos x="0" y="0"/>
                <wp:positionH relativeFrom="column">
                  <wp:posOffset>1979930</wp:posOffset>
                </wp:positionH>
                <wp:positionV relativeFrom="paragraph">
                  <wp:posOffset>2243455</wp:posOffset>
                </wp:positionV>
                <wp:extent cx="876300" cy="247650"/>
                <wp:effectExtent l="12700" t="0" r="25400" b="26035"/>
                <wp:wrapNone/>
                <wp:docPr id="8" name="矩形 8"/>
                <wp:cNvGraphicFramePr/>
                <a:graphic xmlns:a="http://schemas.openxmlformats.org/drawingml/2006/main">
                  <a:graphicData uri="http://schemas.microsoft.com/office/word/2010/wordprocessingShape">
                    <wps:wsp>
                      <wps:cNvSpPr/>
                      <wps:spPr>
                        <a:xfrm>
                          <a:off x="3018155" y="3750310"/>
                          <a:ext cx="876300" cy="2476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55.9pt;margin-top:176.65pt;height:19.5pt;width:69pt;z-index:251658240;v-text-anchor:middle;mso-width-relative:page;mso-height-relative:page;" filled="f" stroked="t" coordsize="21600,21600" o:gfxdata="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Drqlwj2QAAAAsBAAAPAAAAAAAAAAEAIAAAADgAAABkcnMvZG93bnJldi54&#10;bWxQSwECFAAUAAAACACHTuJAcGmmzFUCAACABAAADgAAAAAAAAABACAAAAA+AQAAZHJzL2Uyb0Rv&#10;Yy54bWxQSwUGAAAAAAYABgBZAQAABQYAAAAA&#10;">
                <v:fill on="f" focussize="0,0"/>
                <v:stroke weight="2pt" color="#FF0000 [3204]" joinstyle="round"/>
                <v:imagedata o:title=""/>
                <o:lock v:ext="edit" aspectratio="f"/>
              </v:rect>
            </w:pict>
          </mc:Fallback>
        </mc:AlternateContent>
      </w:r>
      <w:r>
        <w:drawing>
          <wp:inline distT="0" distB="0" distL="114300" distR="114300">
            <wp:extent cx="4961255" cy="2864485"/>
            <wp:effectExtent l="0" t="0" r="10795" b="12065"/>
            <wp:docPr id="9"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true"/>
                    </pic:cNvPicPr>
                  </pic:nvPicPr>
                  <pic:blipFill>
                    <a:blip r:embed="rId13"/>
                    <a:srcRect b="25696"/>
                    <a:stretch>
                      <a:fillRect/>
                    </a:stretch>
                  </pic:blipFill>
                  <pic:spPr>
                    <a:xfrm>
                      <a:off x="0" y="0"/>
                      <a:ext cx="4961255" cy="2864485"/>
                    </a:xfrm>
                    <a:prstGeom prst="rect">
                      <a:avLst/>
                    </a:prstGeom>
                    <a:noFill/>
                    <a:ln>
                      <a:noFill/>
                    </a:ln>
                  </pic:spPr>
                </pic:pic>
              </a:graphicData>
            </a:graphic>
          </wp:inline>
        </w:drawing>
      </w:r>
    </w:p>
    <w:p>
      <w:pPr>
        <w:jc w:val="both"/>
        <w:rPr>
          <w:rFonts w:hint="eastAsia"/>
          <w:lang w:eastAsia="zh-CN"/>
        </w:rPr>
      </w:pPr>
      <w:r>
        <w:rPr>
          <w:rFonts w:hint="eastAsia"/>
          <w:color w:val="FF0000"/>
          <w:sz w:val="24"/>
          <w:highlight w:val="yellow"/>
          <w:shd w:val="clear" w:color="auto" w:fill="FFC000"/>
        </w:rPr>
        <w:t>温馨提示</w:t>
      </w:r>
      <w:r>
        <w:rPr>
          <w:rFonts w:hint="eastAsia"/>
          <w:lang w:eastAsia="zh-CN"/>
        </w:rPr>
        <w:t>：入区人员仅为行政监督或者采购人监督，一个项目最多允许2人入区。</w:t>
      </w:r>
    </w:p>
    <w:p>
      <w:pPr>
        <w:jc w:val="both"/>
        <w:rPr>
          <w:rFonts w:hint="eastAsia"/>
          <w:lang w:eastAsia="zh-CN"/>
        </w:rPr>
      </w:pPr>
    </w:p>
    <w:p>
      <w:pPr>
        <w:pStyle w:val="3"/>
        <w:numPr>
          <w:ilvl w:val="1"/>
          <w:numId w:val="0"/>
        </w:numPr>
        <w:ind w:leftChars="0"/>
        <w:outlineLvl w:val="1"/>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bookmarkStart w:id="18" w:name="_Toc1347311489"/>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2、委派采购人代表参加评标</w:t>
      </w:r>
      <w:bookmarkEnd w:id="18"/>
    </w:p>
    <w:p>
      <w:pPr>
        <w:numPr>
          <w:ilvl w:val="0"/>
          <w:numId w:val="0"/>
        </w:numPr>
        <w:ind w:firstLine="480"/>
        <w:jc w:val="both"/>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pPr>
      <w:r>
        <w:rPr>
          <w:rFonts w:hint="eastAsia"/>
          <w:lang w:val="en" w:eastAsia="zh-CN"/>
        </w:rPr>
        <w:t>项目开标前，</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采购人</w:t>
      </w:r>
      <w:r>
        <w:rPr>
          <w:rFonts w:hint="eastAsia"/>
          <w:lang w:val="en" w:eastAsia="zh-CN"/>
        </w:rPr>
        <w:t>确定本单位派采购人代表参加评标的，</w:t>
      </w:r>
      <w:r>
        <w:rPr>
          <w:rFonts w:hint="eastAsia" w:asciiTheme="minorEastAsia" w:hAnsiTheme="minorEastAsia" w:cstheme="minorEastAsia"/>
          <w:color w:val="000000" w:themeColor="text1"/>
          <w:spacing w:val="4"/>
          <w:sz w:val="24"/>
          <w:szCs w:val="24"/>
          <w:lang w:eastAsia="zh-CN"/>
          <w14:textFill>
            <w14:solidFill>
              <w14:schemeClr w14:val="tx1"/>
            </w14:solidFill>
          </w14:textFill>
        </w:rPr>
        <w:t>应</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在电子交易系统填写并提交该项目</w:t>
      </w:r>
      <w:r>
        <w:rPr>
          <w:rFonts w:hint="eastAsia" w:asciiTheme="minorEastAsia" w:hAnsiTheme="minorEastAsia" w:cstheme="minorEastAsia"/>
          <w:color w:val="000000" w:themeColor="text1"/>
          <w:spacing w:val="4"/>
          <w:sz w:val="24"/>
          <w:szCs w:val="24"/>
          <w:lang w:eastAsia="zh-CN"/>
          <w14:textFill>
            <w14:solidFill>
              <w14:schemeClr w14:val="tx1"/>
            </w14:solidFill>
          </w14:textFill>
        </w:rPr>
        <w:t>采购人代表相关</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信息</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。登录入口如下图：</w:t>
      </w:r>
    </w:p>
    <w:p>
      <w:pPr>
        <w:numPr>
          <w:ilvl w:val="0"/>
          <w:numId w:val="0"/>
        </w:numPr>
        <w:ind w:firstLine="480"/>
        <w:jc w:val="both"/>
        <w:rPr>
          <w:rFonts w:hint="eastAsia" w:asciiTheme="minorEastAsia" w:hAnsiTheme="minorEastAsia" w:eastAsiaTheme="minorEastAsia" w:cstheme="minorEastAsia"/>
          <w:color w:val="FF0000"/>
          <w:spacing w:val="4"/>
          <w:sz w:val="24"/>
          <w:szCs w:val="24"/>
          <w:highlight w:val="yellow"/>
          <w:lang w:val="en"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3837305</wp:posOffset>
                </wp:positionH>
                <wp:positionV relativeFrom="paragraph">
                  <wp:posOffset>2226310</wp:posOffset>
                </wp:positionV>
                <wp:extent cx="876300" cy="247650"/>
                <wp:effectExtent l="12700" t="0" r="25400" b="26035"/>
                <wp:wrapNone/>
                <wp:docPr id="14" name="矩形 14"/>
                <wp:cNvGraphicFramePr/>
                <a:graphic xmlns:a="http://schemas.openxmlformats.org/drawingml/2006/main">
                  <a:graphicData uri="http://schemas.microsoft.com/office/word/2010/wordprocessingShape">
                    <wps:wsp>
                      <wps:cNvSpPr/>
                      <wps:spPr>
                        <a:xfrm>
                          <a:off x="0" y="0"/>
                          <a:ext cx="876300" cy="2476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02.15pt;margin-top:175.3pt;height:19.5pt;width:69pt;z-index:251659264;v-text-anchor:middle;mso-width-relative:page;mso-height-relative:page;" filled="f" stroked="t" coordsize="21600,21600" o:gfxdata="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BdL7o52QAAAAsBAAAPAAAAAAAAAAEAIAAAADgAAABkcnMvZG93bnJldi54bWxQSwECFAAUAAAA&#10;CACHTuJACPGNZUkCAAB2BAAADgAAAAAAAAABACAAAAA+AQAAZHJzL2Uyb0RvYy54bWxQSwUGAAAA&#10;AAYABgBZAQAA+QUAAAAA&#10;">
                <v:fill on="f" focussize="0,0"/>
                <v:stroke weight="2pt" color="#FF0000 [3204]" joinstyle="round"/>
                <v:imagedata o:title=""/>
                <o:lock v:ext="edit" aspectratio="f"/>
              </v:rect>
            </w:pict>
          </mc:Fallback>
        </mc:AlternateContent>
      </w:r>
      <w:r>
        <w:drawing>
          <wp:inline distT="0" distB="0" distL="114300" distR="114300">
            <wp:extent cx="4961255" cy="2864485"/>
            <wp:effectExtent l="0" t="0" r="10795" b="12065"/>
            <wp:docPr id="10"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true"/>
                    </pic:cNvPicPr>
                  </pic:nvPicPr>
                  <pic:blipFill>
                    <a:blip r:embed="rId13"/>
                    <a:srcRect b="25696"/>
                    <a:stretch>
                      <a:fillRect/>
                    </a:stretch>
                  </pic:blipFill>
                  <pic:spPr>
                    <a:xfrm>
                      <a:off x="0" y="0"/>
                      <a:ext cx="4961255" cy="2864485"/>
                    </a:xfrm>
                    <a:prstGeom prst="rect">
                      <a:avLst/>
                    </a:prstGeom>
                    <a:noFill/>
                    <a:ln>
                      <a:noFill/>
                    </a:ln>
                  </pic:spPr>
                </pic:pic>
              </a:graphicData>
            </a:graphic>
          </wp:inline>
        </w:drawing>
      </w:r>
    </w:p>
    <w:p>
      <w:pPr>
        <w:numPr>
          <w:ilvl w:val="0"/>
          <w:numId w:val="0"/>
        </w:numPr>
        <w:ind w:left="480" w:leftChars="0"/>
        <w:jc w:val="both"/>
        <w:rPr>
          <w:rFonts w:hint="eastAsia" w:asciiTheme="minorEastAsia" w:hAnsiTheme="minorEastAsia" w:eastAsiaTheme="minorEastAsia" w:cstheme="minorEastAsia"/>
          <w:lang w:val="en" w:eastAsia="zh-CN"/>
        </w:rPr>
      </w:pPr>
      <w:r>
        <w:rPr>
          <w:rFonts w:hint="eastAsia"/>
          <w:color w:val="FF0000"/>
          <w:sz w:val="24"/>
          <w:highlight w:val="yellow"/>
          <w:shd w:val="clear" w:color="auto" w:fill="FFC000"/>
        </w:rPr>
        <w:t>温馨提示</w:t>
      </w:r>
      <w:r>
        <w:rPr>
          <w:rFonts w:hint="eastAsia" w:asciiTheme="minorEastAsia" w:hAnsiTheme="minorEastAsia" w:eastAsiaTheme="minorEastAsia" w:cstheme="minorEastAsia"/>
          <w:lang w:val="en" w:eastAsia="zh-CN"/>
        </w:rPr>
        <w:t>：（</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val="en" w:eastAsia="zh-CN"/>
        </w:rPr>
        <w:t>）</w:t>
      </w:r>
      <w:r>
        <w:rPr>
          <w:rFonts w:hint="eastAsia" w:asciiTheme="minorEastAsia" w:hAnsiTheme="minorEastAsia" w:eastAsiaTheme="minorEastAsia" w:cstheme="minorEastAsia"/>
          <w:lang w:val="en-US" w:eastAsia="zh-CN"/>
        </w:rPr>
        <w:t>采购人</w:t>
      </w:r>
      <w:r>
        <w:rPr>
          <w:rFonts w:hint="eastAsia" w:asciiTheme="minorEastAsia" w:hAnsiTheme="minorEastAsia" w:eastAsiaTheme="minorEastAsia" w:cstheme="minorEastAsia"/>
          <w:lang w:val="en" w:eastAsia="zh-CN"/>
        </w:rPr>
        <w:t>确定本单位委派采购人代表评标后不能再修改或调整，否则无法进行评审工作；</w:t>
      </w:r>
    </w:p>
    <w:p>
      <w:pPr>
        <w:numPr>
          <w:ilvl w:val="0"/>
          <w:numId w:val="3"/>
        </w:numPr>
        <w:ind w:left="960" w:leftChars="0" w:firstLine="0" w:firstLineChars="0"/>
        <w:jc w:val="both"/>
        <w:rPr>
          <w:rFonts w:hint="eastAsia" w:asciiTheme="minorEastAsia" w:hAnsiTheme="minorEastAsia" w:eastAsiaTheme="minorEastAsia" w:cstheme="minorEastAsia"/>
          <w:lang w:val="en" w:eastAsia="zh-CN"/>
        </w:rPr>
      </w:pPr>
      <w:r>
        <w:rPr>
          <w:rFonts w:hint="eastAsia" w:asciiTheme="minorEastAsia" w:hAnsiTheme="minorEastAsia" w:eastAsiaTheme="minorEastAsia" w:cstheme="minorEastAsia"/>
          <w:lang w:val="en" w:eastAsia="zh-CN"/>
        </w:rPr>
        <w:t>未按要求提供的申请表及无效授权的，无法进行评标工作。</w:t>
      </w:r>
    </w:p>
    <w:p>
      <w:pPr>
        <w:numPr>
          <w:ilvl w:val="0"/>
          <w:numId w:val="0"/>
        </w:numPr>
        <w:jc w:val="both"/>
        <w:rPr>
          <w:rFonts w:hint="default"/>
          <w:lang w:val="en" w:eastAsia="zh-CN"/>
        </w:rPr>
      </w:pPr>
    </w:p>
    <w:p>
      <w:pPr>
        <w:numPr>
          <w:ilvl w:val="0"/>
          <w:numId w:val="0"/>
        </w:numPr>
        <w:jc w:val="both"/>
        <w:rPr>
          <w:rFonts w:hint="eastAsia"/>
          <w:lang w:val="en-US" w:eastAsia="zh-CN"/>
        </w:rPr>
      </w:pPr>
    </w:p>
    <w:p>
      <w:pPr>
        <w:keepNext/>
        <w:keepLines/>
        <w:numPr>
          <w:ilvl w:val="0"/>
          <w:numId w:val="1"/>
        </w:numPr>
        <w:tabs>
          <w:tab w:val="left" w:pos="425"/>
        </w:tabs>
        <w:outlineLvl w:val="0"/>
        <w:rPr>
          <w:rFonts w:hint="eastAsia" w:ascii="Times New Roman" w:hAnsi="Times New Roman" w:eastAsia="宋体" w:cs="Times New Roman"/>
          <w:b/>
          <w:bCs/>
          <w:color w:val="000000" w:themeColor="text1"/>
          <w:kern w:val="44"/>
          <w:sz w:val="32"/>
          <w:szCs w:val="28"/>
          <w:lang w:val="en-US" w:eastAsia="zh-CN"/>
          <w14:textFill>
            <w14:solidFill>
              <w14:schemeClr w14:val="tx1"/>
            </w14:solidFill>
          </w14:textFill>
        </w:rPr>
      </w:pPr>
      <w:bookmarkStart w:id="19" w:name="_Toc1384437058"/>
      <w:r>
        <w:rPr>
          <w:rFonts w:hint="eastAsia" w:ascii="Times New Roman" w:hAnsi="Times New Roman" w:eastAsia="宋体" w:cs="Times New Roman"/>
          <w:b/>
          <w:bCs/>
          <w:color w:val="000000" w:themeColor="text1"/>
          <w:kern w:val="44"/>
          <w:sz w:val="32"/>
          <w:szCs w:val="28"/>
          <w:lang w:val="en-US" w:eastAsia="zh-CN"/>
          <w14:textFill>
            <w14:solidFill>
              <w14:schemeClr w14:val="tx1"/>
            </w14:solidFill>
          </w14:textFill>
        </w:rPr>
        <w:t>查询保存项目档案</w:t>
      </w:r>
      <w:bookmarkEnd w:id="19"/>
    </w:p>
    <w:p>
      <w:pPr>
        <w:numPr>
          <w:ilvl w:val="0"/>
          <w:numId w:val="0"/>
        </w:numPr>
        <w:ind w:firstLine="480"/>
        <w:jc w:val="both"/>
        <w:rPr>
          <w:rFonts w:hint="eastAsia" w:asciiTheme="minorEastAsia" w:hAnsiTheme="minorEastAsia" w:eastAsiaTheme="minorEastAsia" w:cstheme="minorEastAsia"/>
          <w:color w:val="FF0000"/>
          <w:spacing w:val="4"/>
          <w:sz w:val="24"/>
          <w:szCs w:val="24"/>
          <w:highlight w:val="yellow"/>
          <w:lang w:eastAsia="zh-CN"/>
        </w:rPr>
      </w:pPr>
      <w:r>
        <w:rPr>
          <w:rFonts w:hint="eastAsia" w:asciiTheme="minorEastAsia" w:hAnsiTheme="minorEastAsia" w:cstheme="minorEastAsia"/>
          <w:b/>
          <w:bCs/>
          <w:sz w:val="32"/>
          <w:szCs w:val="32"/>
          <w:lang w:val="en-US" w:eastAsia="zh-CN"/>
        </w:rPr>
        <w:t xml:space="preserve"> </w:t>
      </w:r>
      <w:r>
        <w:rPr>
          <w:rFonts w:hint="eastAsia" w:asciiTheme="minorEastAsia" w:hAnsiTheme="minorEastAsia" w:eastAsiaTheme="minorEastAsia" w:cstheme="minorEastAsia"/>
          <w:b w:val="0"/>
          <w:bCs w:val="0"/>
          <w:sz w:val="24"/>
          <w:szCs w:val="24"/>
          <w:lang w:val="en-US" w:eastAsia="zh-CN"/>
        </w:rPr>
        <w:t>评标结束后，采购人/代理机构可及时查看中标单位的投标文件及评标过程的档案资料</w:t>
      </w:r>
      <w:r>
        <w:rPr>
          <w:rFonts w:hint="eastAsia" w:asciiTheme="minorEastAsia" w:hAnsi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lang w:val="en-US" w:eastAsia="zh-CN"/>
        </w:rPr>
        <w:t>登录入口</w:t>
      </w:r>
      <w:r>
        <w:rPr>
          <w:rFonts w:hint="eastAsia" w:asciiTheme="minorEastAsia" w:hAnsiTheme="minorEastAsia" w:cstheme="minorEastAsia"/>
          <w:b w:val="0"/>
          <w:bCs w:val="0"/>
          <w:sz w:val="24"/>
          <w:szCs w:val="24"/>
          <w:lang w:val="en-US" w:eastAsia="zh-CN"/>
        </w:rPr>
        <w:t>如下图</w:t>
      </w:r>
      <w:r>
        <w:rPr>
          <w:rFonts w:hint="eastAsia" w:asciiTheme="minorEastAsia" w:hAnsiTheme="minorEastAsia" w:eastAsiaTheme="minorEastAsia" w:cstheme="minorEastAsia"/>
          <w:b w:val="0"/>
          <w:bCs w:val="0"/>
          <w:sz w:val="24"/>
          <w:szCs w:val="24"/>
          <w:lang w:val="en-US" w:eastAsia="zh-CN"/>
        </w:rPr>
        <w:t>：</w:t>
      </w:r>
    </w:p>
    <w:p>
      <w:pPr>
        <w:numPr>
          <w:ilvl w:val="0"/>
          <w:numId w:val="0"/>
        </w:numPr>
        <w:jc w:val="both"/>
      </w:pPr>
    </w:p>
    <w:p>
      <w:pPr>
        <w:numPr>
          <w:ilvl w:val="0"/>
          <w:numId w:val="0"/>
        </w:numPr>
        <w:jc w:val="both"/>
        <w:rPr>
          <w:rFonts w:hint="eastAsia" w:asciiTheme="minorEastAsia" w:hAnsiTheme="minorEastAsia" w:eastAsiaTheme="minorEastAsia" w:cstheme="minorEastAsia"/>
          <w:b w:val="0"/>
          <w:bCs w:val="0"/>
          <w:sz w:val="24"/>
          <w:szCs w:val="24"/>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875030</wp:posOffset>
                </wp:positionH>
                <wp:positionV relativeFrom="paragraph">
                  <wp:posOffset>885190</wp:posOffset>
                </wp:positionV>
                <wp:extent cx="876300" cy="247650"/>
                <wp:effectExtent l="12700" t="0" r="25400" b="26035"/>
                <wp:wrapNone/>
                <wp:docPr id="15" name="矩形 15"/>
                <wp:cNvGraphicFramePr/>
                <a:graphic xmlns:a="http://schemas.openxmlformats.org/drawingml/2006/main">
                  <a:graphicData uri="http://schemas.microsoft.com/office/word/2010/wordprocessingShape">
                    <wps:wsp>
                      <wps:cNvSpPr/>
                      <wps:spPr>
                        <a:xfrm>
                          <a:off x="0" y="0"/>
                          <a:ext cx="876300" cy="2476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68.9pt;margin-top:69.7pt;height:19.5pt;width:69pt;z-index:251661312;v-text-anchor:middle;mso-width-relative:page;mso-height-relative:page;" filled="f" stroked="t" coordsize="21600,21600" o:gfxdata="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V3vi8NkAAAALAQAADwAAAAAAAAABACAAAAA4AAAAZHJzL2Rvd25yZXYueG1sUEsBAhQAFAAA&#10;AAgAh07iQHGi5KZKAgAAdgQAAA4AAAAAAAAAAQAgAAAAPgEAAGRycy9lMm9Eb2MueG1sUEsFBgAA&#10;AAAGAAYAWQEAAPoFAAAAAA==&#10;">
                <v:fill on="f" focussize="0,0"/>
                <v:stroke weight="2pt" color="#FF0000 [3204]" joinstyle="round"/>
                <v:imagedata o:title=""/>
                <o:lock v:ext="edit" aspectratio="f"/>
              </v:rect>
            </w:pict>
          </mc:Fallback>
        </mc:AlternateContent>
      </w:r>
      <w:r>
        <w:drawing>
          <wp:inline distT="0" distB="0" distL="114300" distR="114300">
            <wp:extent cx="5266055" cy="1694180"/>
            <wp:effectExtent l="0" t="0" r="10795" b="1270"/>
            <wp:docPr id="5"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true"/>
                    </pic:cNvPicPr>
                  </pic:nvPicPr>
                  <pic:blipFill>
                    <a:blip r:embed="rId12"/>
                    <a:srcRect t="65047"/>
                    <a:stretch>
                      <a:fillRect/>
                    </a:stretch>
                  </pic:blipFill>
                  <pic:spPr>
                    <a:xfrm>
                      <a:off x="0" y="0"/>
                      <a:ext cx="5266055" cy="1694180"/>
                    </a:xfrm>
                    <a:prstGeom prst="rect">
                      <a:avLst/>
                    </a:prstGeom>
                    <a:noFill/>
                    <a:ln>
                      <a:noFill/>
                    </a:ln>
                  </pic:spPr>
                </pic:pic>
              </a:graphicData>
            </a:graphic>
          </wp:inline>
        </w:drawing>
      </w:r>
    </w:p>
    <w:p>
      <w:pPr>
        <w:numPr>
          <w:ilvl w:val="0"/>
          <w:numId w:val="0"/>
        </w:numPr>
        <w:jc w:val="both"/>
        <w:rPr>
          <w:rFonts w:hint="eastAsia"/>
          <w:lang w:val="en-US" w:eastAsia="zh-CN"/>
        </w:rPr>
      </w:pPr>
      <w:r>
        <w:rPr>
          <w:rFonts w:hint="eastAsia"/>
          <w:color w:val="FF0000"/>
          <w:sz w:val="24"/>
          <w:highlight w:val="yellow"/>
          <w:shd w:val="clear" w:color="auto" w:fill="FFC000"/>
        </w:rPr>
        <w:t>温馨提示</w:t>
      </w:r>
      <w:r>
        <w:rPr>
          <w:rFonts w:hint="eastAsia"/>
          <w:lang w:val="en-US" w:eastAsia="zh-CN"/>
        </w:rPr>
        <w:t>：（1）采购人可在项目完全结束后可查询下载项目相关资料；</w:t>
      </w:r>
    </w:p>
    <w:p>
      <w:pPr>
        <w:numPr>
          <w:ilvl w:val="0"/>
          <w:numId w:val="0"/>
        </w:numPr>
        <w:jc w:val="both"/>
      </w:pPr>
      <w:r>
        <w:rPr>
          <w:rFonts w:hint="eastAsia"/>
          <w:lang w:val="en-US" w:eastAsia="zh-CN"/>
        </w:rPr>
        <w:t xml:space="preserve">    （2）未进入流程的资料或没有上传系统的资料，系统将无法查询或下载保存。</w:t>
      </w:r>
      <w:bookmarkEnd w:id="11"/>
      <w:bookmarkEnd w:id="12"/>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ctionIcon ! important">
    <w:altName w:val="仿宋"/>
    <w:panose1 w:val="00000000000000000000"/>
    <w:charset w:val="00"/>
    <w:family w:val="auto"/>
    <w:pitch w:val="default"/>
    <w:sig w:usb0="00000000" w:usb1="00000000" w:usb2="00000000" w:usb3="00000000" w:csb0="00000000" w:csb1="00000000"/>
  </w:font>
  <w:font w:name="monospace">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12</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zql5uc8AAAAFAQAADwAAAAAAAAABACAAAAA4AAAAZHJzL2Rvd25yZXYueG1sUEsBAhQA&#10;FAAAAAgAh07iQCbPURCsAQAARgMAAA4AAAAAAAAAAQAgAAAANAEAAGRycy9lMm9Eb2MueG1sUEsF&#10;BgAAAAAGAAYAWQEAAFI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DB4B48"/>
    <w:multiLevelType w:val="singleLevel"/>
    <w:tmpl w:val="BFDB4B48"/>
    <w:lvl w:ilvl="0" w:tentative="0">
      <w:start w:val="1"/>
      <w:numFmt w:val="decimal"/>
      <w:suff w:val="nothing"/>
      <w:lvlText w:val="%1、"/>
      <w:lvlJc w:val="left"/>
    </w:lvl>
  </w:abstractNum>
  <w:abstractNum w:abstractNumId="1">
    <w:nsid w:val="29FEA787"/>
    <w:multiLevelType w:val="singleLevel"/>
    <w:tmpl w:val="29FEA787"/>
    <w:lvl w:ilvl="0" w:tentative="0">
      <w:start w:val="2"/>
      <w:numFmt w:val="decimal"/>
      <w:suff w:val="nothing"/>
      <w:lvlText w:val="（%1）"/>
      <w:lvlJc w:val="left"/>
      <w:pPr>
        <w:ind w:left="960" w:leftChars="0" w:firstLine="0" w:firstLineChars="0"/>
      </w:pPr>
    </w:lvl>
  </w:abstractNum>
  <w:abstractNum w:abstractNumId="2">
    <w:nsid w:val="5C4C21CA"/>
    <w:multiLevelType w:val="multilevel"/>
    <w:tmpl w:val="5C4C21CA"/>
    <w:lvl w:ilvl="0" w:tentative="0">
      <w:start w:val="1"/>
      <w:numFmt w:val="chineseCountingThousand"/>
      <w:pStyle w:val="2"/>
      <w:lvlText w:val="%1、"/>
      <w:lvlJc w:val="left"/>
      <w:pPr>
        <w:ind w:left="0" w:firstLine="0"/>
      </w:pPr>
      <w:rPr>
        <w:rFonts w:hint="eastAsia"/>
        <w:lang w:val="en-US"/>
      </w:rPr>
    </w:lvl>
    <w:lvl w:ilvl="1" w:tentative="0">
      <w:start w:val="1"/>
      <w:numFmt w:val="decimal"/>
      <w:pStyle w:val="3"/>
      <w:isLgl/>
      <w:lvlText w:val="%1.%2、"/>
      <w:lvlJc w:val="left"/>
      <w:pPr>
        <w:ind w:left="0" w:firstLine="0"/>
      </w:pPr>
      <w:rPr>
        <w:rFonts w:hint="default" w:ascii="Times New Roman" w:hAnsi="Times New Roman" w:cs="Times New Roman"/>
        <w:b/>
        <w:bCs w:val="0"/>
        <w:i w:val="0"/>
        <w:iCs w:val="0"/>
        <w:caps w:val="0"/>
        <w:smallCaps w:val="0"/>
        <w:strike w:val="0"/>
        <w:dstrike w:val="0"/>
        <w:color w:val="000000"/>
        <w:spacing w:val="0"/>
        <w:position w:val="0"/>
        <w:u w:val="none"/>
      </w:rPr>
    </w:lvl>
    <w:lvl w:ilvl="2" w:tentative="0">
      <w:start w:val="1"/>
      <w:numFmt w:val="decimal"/>
      <w:pStyle w:val="4"/>
      <w:isLgl/>
      <w:lvlText w:val="%1.%2.%3、"/>
      <w:lvlJc w:val="left"/>
      <w:pPr>
        <w:ind w:left="283" w:firstLine="0"/>
      </w:pPr>
      <w:rPr>
        <w:rFonts w:hint="default" w:ascii="Times New Roman" w:hAnsi="Times New Roman" w:cs="Times New Roman"/>
        <w:b/>
        <w:i w:val="0"/>
      </w:rPr>
    </w:lvl>
    <w:lvl w:ilvl="3" w:tentative="0">
      <w:start w:val="1"/>
      <w:numFmt w:val="decimal"/>
      <w:pStyle w:val="5"/>
      <w:isLgl/>
      <w:lvlText w:val="%1.%2.%3.%4、"/>
      <w:lvlJc w:val="left"/>
      <w:pPr>
        <w:ind w:left="0" w:firstLine="0"/>
      </w:pPr>
      <w:rPr>
        <w:rFonts w:hint="eastAsia" w:ascii="Times New Roman" w:hAnsi="Times New Roman" w:cs="Times New Roman"/>
        <w:b w:val="0"/>
        <w:bCs w:val="0"/>
        <w:i w:val="0"/>
        <w:iCs w:val="0"/>
        <w:caps w:val="0"/>
        <w:smallCaps w:val="0"/>
        <w:strike w:val="0"/>
        <w:dstrike w:val="0"/>
        <w:snapToGrid w:val="0"/>
        <w:color w:val="000000"/>
        <w:spacing w:val="0"/>
        <w:w w:val="0"/>
        <w:kern w:val="0"/>
        <w:position w:val="0"/>
        <w:szCs w:val="16"/>
        <w:u w:val="none"/>
      </w:rPr>
    </w:lvl>
    <w:lvl w:ilvl="4" w:tentative="0">
      <w:start w:val="1"/>
      <w:numFmt w:val="decimal"/>
      <w:pStyle w:val="6"/>
      <w:isLgl/>
      <w:lvlText w:val="%1.%2.%3.%4.%5、"/>
      <w:lvlJc w:val="left"/>
      <w:pPr>
        <w:ind w:left="977" w:hanging="1008"/>
      </w:pPr>
      <w:rPr>
        <w:rFonts w:hint="eastAsia"/>
      </w:rPr>
    </w:lvl>
    <w:lvl w:ilvl="5" w:tentative="0">
      <w:start w:val="1"/>
      <w:numFmt w:val="decimal"/>
      <w:pStyle w:val="7"/>
      <w:isLgl/>
      <w:lvlText w:val="%1.%2.%3.%4.%5.%6、"/>
      <w:lvlJc w:val="left"/>
      <w:pPr>
        <w:ind w:left="1121" w:hanging="1152"/>
      </w:pPr>
      <w:rPr>
        <w:rFonts w:hint="eastAsia"/>
      </w:rPr>
    </w:lvl>
    <w:lvl w:ilvl="6" w:tentative="0">
      <w:start w:val="1"/>
      <w:numFmt w:val="decimal"/>
      <w:pStyle w:val="8"/>
      <w:lvlText w:val="%1.%2.%3.%4.%5.%6.%7"/>
      <w:lvlJc w:val="left"/>
      <w:pPr>
        <w:ind w:left="1265" w:hanging="1296"/>
      </w:pPr>
      <w:rPr>
        <w:rFonts w:hint="eastAsia"/>
      </w:rPr>
    </w:lvl>
    <w:lvl w:ilvl="7" w:tentative="0">
      <w:start w:val="1"/>
      <w:numFmt w:val="decimal"/>
      <w:pStyle w:val="9"/>
      <w:lvlText w:val="%1.%2.%3.%4.%5.%6.%7.%8"/>
      <w:lvlJc w:val="left"/>
      <w:pPr>
        <w:ind w:left="1409" w:hanging="1440"/>
      </w:pPr>
      <w:rPr>
        <w:rFonts w:hint="eastAsia"/>
      </w:rPr>
    </w:lvl>
    <w:lvl w:ilvl="8" w:tentative="0">
      <w:start w:val="1"/>
      <w:numFmt w:val="decimal"/>
      <w:pStyle w:val="10"/>
      <w:lvlText w:val="%1.%2.%3.%4.%5.%6.%7.%8.%9"/>
      <w:lvlJc w:val="left"/>
      <w:pPr>
        <w:ind w:left="1553"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YzE0YzBhOTVhMjZmNmM5Y2RiZGY0MDJlMDNkZDcifQ=="/>
  </w:docVars>
  <w:rsids>
    <w:rsidRoot w:val="00BA0993"/>
    <w:rsid w:val="000046D5"/>
    <w:rsid w:val="000052CB"/>
    <w:rsid w:val="001532D9"/>
    <w:rsid w:val="001F6FD7"/>
    <w:rsid w:val="00235127"/>
    <w:rsid w:val="002637EC"/>
    <w:rsid w:val="00283EB1"/>
    <w:rsid w:val="002C5971"/>
    <w:rsid w:val="002E3440"/>
    <w:rsid w:val="002E40D6"/>
    <w:rsid w:val="00302FD9"/>
    <w:rsid w:val="00386048"/>
    <w:rsid w:val="003A2CC3"/>
    <w:rsid w:val="00406FED"/>
    <w:rsid w:val="004478DF"/>
    <w:rsid w:val="00467200"/>
    <w:rsid w:val="00493D5E"/>
    <w:rsid w:val="00496C6E"/>
    <w:rsid w:val="004B35EF"/>
    <w:rsid w:val="004F40D3"/>
    <w:rsid w:val="00502FEA"/>
    <w:rsid w:val="00503621"/>
    <w:rsid w:val="0051563B"/>
    <w:rsid w:val="005239EC"/>
    <w:rsid w:val="00570D01"/>
    <w:rsid w:val="005A44E9"/>
    <w:rsid w:val="005E236C"/>
    <w:rsid w:val="005E324C"/>
    <w:rsid w:val="005F6495"/>
    <w:rsid w:val="006020E3"/>
    <w:rsid w:val="0061221D"/>
    <w:rsid w:val="006153FE"/>
    <w:rsid w:val="00616905"/>
    <w:rsid w:val="00622C0E"/>
    <w:rsid w:val="0067773A"/>
    <w:rsid w:val="006C3458"/>
    <w:rsid w:val="006F2E40"/>
    <w:rsid w:val="00700572"/>
    <w:rsid w:val="00755B02"/>
    <w:rsid w:val="00767334"/>
    <w:rsid w:val="00771E91"/>
    <w:rsid w:val="00772754"/>
    <w:rsid w:val="00780120"/>
    <w:rsid w:val="00794F24"/>
    <w:rsid w:val="007A7805"/>
    <w:rsid w:val="007B6FE6"/>
    <w:rsid w:val="007C337E"/>
    <w:rsid w:val="00821840"/>
    <w:rsid w:val="008663CB"/>
    <w:rsid w:val="008F6C28"/>
    <w:rsid w:val="00987C50"/>
    <w:rsid w:val="00994B8A"/>
    <w:rsid w:val="009A74B5"/>
    <w:rsid w:val="009B79B5"/>
    <w:rsid w:val="00A55940"/>
    <w:rsid w:val="00A66E7C"/>
    <w:rsid w:val="00A83A59"/>
    <w:rsid w:val="00A96627"/>
    <w:rsid w:val="00AE3C1E"/>
    <w:rsid w:val="00B76859"/>
    <w:rsid w:val="00B837B7"/>
    <w:rsid w:val="00BA0993"/>
    <w:rsid w:val="00BD44D3"/>
    <w:rsid w:val="00C06C88"/>
    <w:rsid w:val="00C21785"/>
    <w:rsid w:val="00C707B8"/>
    <w:rsid w:val="00C87F0F"/>
    <w:rsid w:val="00D07F17"/>
    <w:rsid w:val="00D23CC5"/>
    <w:rsid w:val="00D31C58"/>
    <w:rsid w:val="00D71AC4"/>
    <w:rsid w:val="00D73FF0"/>
    <w:rsid w:val="00D779B5"/>
    <w:rsid w:val="00D93D22"/>
    <w:rsid w:val="00DC727E"/>
    <w:rsid w:val="00E12683"/>
    <w:rsid w:val="00E468E3"/>
    <w:rsid w:val="00E60268"/>
    <w:rsid w:val="00E62021"/>
    <w:rsid w:val="00EB6EA2"/>
    <w:rsid w:val="00EF6A2C"/>
    <w:rsid w:val="00F47AA6"/>
    <w:rsid w:val="00F6453A"/>
    <w:rsid w:val="00F76951"/>
    <w:rsid w:val="00FB412A"/>
    <w:rsid w:val="00FC1842"/>
    <w:rsid w:val="00FD6194"/>
    <w:rsid w:val="018450D5"/>
    <w:rsid w:val="01AA68AB"/>
    <w:rsid w:val="01E427B1"/>
    <w:rsid w:val="027B7963"/>
    <w:rsid w:val="02F00A18"/>
    <w:rsid w:val="036E6466"/>
    <w:rsid w:val="04673D9F"/>
    <w:rsid w:val="04D42AAB"/>
    <w:rsid w:val="04E76AA6"/>
    <w:rsid w:val="050A1B0F"/>
    <w:rsid w:val="05A42949"/>
    <w:rsid w:val="06695AAF"/>
    <w:rsid w:val="07AC1F33"/>
    <w:rsid w:val="07C10826"/>
    <w:rsid w:val="088E2A01"/>
    <w:rsid w:val="08C6543B"/>
    <w:rsid w:val="08D15B8E"/>
    <w:rsid w:val="08F40027"/>
    <w:rsid w:val="096841CA"/>
    <w:rsid w:val="097B0B7E"/>
    <w:rsid w:val="09BF339B"/>
    <w:rsid w:val="09CE4F7E"/>
    <w:rsid w:val="0A61573C"/>
    <w:rsid w:val="0AAE5D6B"/>
    <w:rsid w:val="0B666A61"/>
    <w:rsid w:val="0BC3400A"/>
    <w:rsid w:val="0DB9182E"/>
    <w:rsid w:val="0E5A2621"/>
    <w:rsid w:val="0EC55E01"/>
    <w:rsid w:val="0F2A0D9B"/>
    <w:rsid w:val="0F9A13CF"/>
    <w:rsid w:val="10DC63C8"/>
    <w:rsid w:val="117FC8EC"/>
    <w:rsid w:val="11A46C3F"/>
    <w:rsid w:val="11F71000"/>
    <w:rsid w:val="122160E2"/>
    <w:rsid w:val="12731B93"/>
    <w:rsid w:val="12BF3465"/>
    <w:rsid w:val="12E84200"/>
    <w:rsid w:val="134162ED"/>
    <w:rsid w:val="1378002E"/>
    <w:rsid w:val="137B00F0"/>
    <w:rsid w:val="14F74BCE"/>
    <w:rsid w:val="150C7E6E"/>
    <w:rsid w:val="150F3DEE"/>
    <w:rsid w:val="15DC4F2E"/>
    <w:rsid w:val="162A59B3"/>
    <w:rsid w:val="17326391"/>
    <w:rsid w:val="17393F01"/>
    <w:rsid w:val="176C7E2C"/>
    <w:rsid w:val="17783D91"/>
    <w:rsid w:val="179E7916"/>
    <w:rsid w:val="17F65355"/>
    <w:rsid w:val="185F31B6"/>
    <w:rsid w:val="19DE58E2"/>
    <w:rsid w:val="19E51027"/>
    <w:rsid w:val="1A4160EC"/>
    <w:rsid w:val="1AA17E76"/>
    <w:rsid w:val="1AE6564F"/>
    <w:rsid w:val="1AE84BE7"/>
    <w:rsid w:val="1BCB46BE"/>
    <w:rsid w:val="1C093B64"/>
    <w:rsid w:val="1D653086"/>
    <w:rsid w:val="1DCA6AD1"/>
    <w:rsid w:val="1DEC19AA"/>
    <w:rsid w:val="1E1F2543"/>
    <w:rsid w:val="1E8A4908"/>
    <w:rsid w:val="1E905823"/>
    <w:rsid w:val="1EC85837"/>
    <w:rsid w:val="1F122222"/>
    <w:rsid w:val="1F2160C4"/>
    <w:rsid w:val="1F4F4BD2"/>
    <w:rsid w:val="1F6249DA"/>
    <w:rsid w:val="20672E48"/>
    <w:rsid w:val="20922D77"/>
    <w:rsid w:val="20C413FA"/>
    <w:rsid w:val="22006BEB"/>
    <w:rsid w:val="220D4DD5"/>
    <w:rsid w:val="22911B36"/>
    <w:rsid w:val="22A9639D"/>
    <w:rsid w:val="23053D5B"/>
    <w:rsid w:val="237B34F9"/>
    <w:rsid w:val="23847F75"/>
    <w:rsid w:val="23A75A11"/>
    <w:rsid w:val="23EF05D4"/>
    <w:rsid w:val="24D52D2B"/>
    <w:rsid w:val="25077338"/>
    <w:rsid w:val="25287DC2"/>
    <w:rsid w:val="25FA0F65"/>
    <w:rsid w:val="26161BA2"/>
    <w:rsid w:val="278D4EE0"/>
    <w:rsid w:val="27DB17FB"/>
    <w:rsid w:val="287A5E0A"/>
    <w:rsid w:val="287B3BA1"/>
    <w:rsid w:val="28EC7EDD"/>
    <w:rsid w:val="29997253"/>
    <w:rsid w:val="29A206EB"/>
    <w:rsid w:val="29A3473A"/>
    <w:rsid w:val="29E50B49"/>
    <w:rsid w:val="2A292B3C"/>
    <w:rsid w:val="2A5C3A3B"/>
    <w:rsid w:val="2A7B602E"/>
    <w:rsid w:val="2BE36C60"/>
    <w:rsid w:val="2C32033A"/>
    <w:rsid w:val="2D2D2B9A"/>
    <w:rsid w:val="2D4A4337"/>
    <w:rsid w:val="2E8452CD"/>
    <w:rsid w:val="2EFA0ABB"/>
    <w:rsid w:val="2F6C3721"/>
    <w:rsid w:val="3034062C"/>
    <w:rsid w:val="30B40786"/>
    <w:rsid w:val="3134176A"/>
    <w:rsid w:val="31D67BED"/>
    <w:rsid w:val="331E21EA"/>
    <w:rsid w:val="33923056"/>
    <w:rsid w:val="33F50B9C"/>
    <w:rsid w:val="34A53446"/>
    <w:rsid w:val="34AA2E47"/>
    <w:rsid w:val="350F73E8"/>
    <w:rsid w:val="352A2B85"/>
    <w:rsid w:val="361C5DEB"/>
    <w:rsid w:val="36A64356"/>
    <w:rsid w:val="37246325"/>
    <w:rsid w:val="37555A58"/>
    <w:rsid w:val="38354AF1"/>
    <w:rsid w:val="384B1867"/>
    <w:rsid w:val="39924114"/>
    <w:rsid w:val="3AC45E72"/>
    <w:rsid w:val="3B131AD2"/>
    <w:rsid w:val="3B8E3258"/>
    <w:rsid w:val="3C5A58BF"/>
    <w:rsid w:val="3CA7071D"/>
    <w:rsid w:val="3D2F3AC6"/>
    <w:rsid w:val="3DC81C9F"/>
    <w:rsid w:val="3EA64DEB"/>
    <w:rsid w:val="3F1461F9"/>
    <w:rsid w:val="3F9D075F"/>
    <w:rsid w:val="3FC32503"/>
    <w:rsid w:val="3FDF2363"/>
    <w:rsid w:val="40391F9E"/>
    <w:rsid w:val="40402241"/>
    <w:rsid w:val="40B33254"/>
    <w:rsid w:val="431D6C83"/>
    <w:rsid w:val="43D27C0E"/>
    <w:rsid w:val="4424314A"/>
    <w:rsid w:val="44C804A0"/>
    <w:rsid w:val="44D01E0B"/>
    <w:rsid w:val="44D501D8"/>
    <w:rsid w:val="45AC03F8"/>
    <w:rsid w:val="4637481C"/>
    <w:rsid w:val="46ED3615"/>
    <w:rsid w:val="47535F40"/>
    <w:rsid w:val="4AC93C9B"/>
    <w:rsid w:val="4B057175"/>
    <w:rsid w:val="4B1959DE"/>
    <w:rsid w:val="4B6862DE"/>
    <w:rsid w:val="4B7414DB"/>
    <w:rsid w:val="4BD27220"/>
    <w:rsid w:val="4C7C718B"/>
    <w:rsid w:val="4C937A8D"/>
    <w:rsid w:val="4DFF76B9"/>
    <w:rsid w:val="50C57353"/>
    <w:rsid w:val="50CC3BF1"/>
    <w:rsid w:val="51FD4DCB"/>
    <w:rsid w:val="526002F2"/>
    <w:rsid w:val="5264494A"/>
    <w:rsid w:val="527B23BF"/>
    <w:rsid w:val="52C16754"/>
    <w:rsid w:val="533D58C6"/>
    <w:rsid w:val="5380356D"/>
    <w:rsid w:val="53D37FD9"/>
    <w:rsid w:val="54D35C1C"/>
    <w:rsid w:val="551C3527"/>
    <w:rsid w:val="55721B0D"/>
    <w:rsid w:val="55896605"/>
    <w:rsid w:val="55C922F7"/>
    <w:rsid w:val="55D62E59"/>
    <w:rsid w:val="55E069DD"/>
    <w:rsid w:val="573B4C37"/>
    <w:rsid w:val="57E9601D"/>
    <w:rsid w:val="57ED7E5A"/>
    <w:rsid w:val="585777DA"/>
    <w:rsid w:val="585D4315"/>
    <w:rsid w:val="588D679B"/>
    <w:rsid w:val="58A87D16"/>
    <w:rsid w:val="58B44FC5"/>
    <w:rsid w:val="598558D1"/>
    <w:rsid w:val="59B2376B"/>
    <w:rsid w:val="5BAF529E"/>
    <w:rsid w:val="5C865BB4"/>
    <w:rsid w:val="5E466598"/>
    <w:rsid w:val="5F1B0EDC"/>
    <w:rsid w:val="6164600B"/>
    <w:rsid w:val="61AD3862"/>
    <w:rsid w:val="61EF3877"/>
    <w:rsid w:val="623F04BA"/>
    <w:rsid w:val="62C51434"/>
    <w:rsid w:val="632B4938"/>
    <w:rsid w:val="63491625"/>
    <w:rsid w:val="635C72F0"/>
    <w:rsid w:val="63A82B58"/>
    <w:rsid w:val="645C7B76"/>
    <w:rsid w:val="646F64A9"/>
    <w:rsid w:val="64752769"/>
    <w:rsid w:val="662B15F7"/>
    <w:rsid w:val="664A6B87"/>
    <w:rsid w:val="66F54F23"/>
    <w:rsid w:val="670F364C"/>
    <w:rsid w:val="678F628F"/>
    <w:rsid w:val="67A5489B"/>
    <w:rsid w:val="67A91A84"/>
    <w:rsid w:val="67E647BE"/>
    <w:rsid w:val="683A4C5D"/>
    <w:rsid w:val="686A05B3"/>
    <w:rsid w:val="686F0B55"/>
    <w:rsid w:val="689F5DD7"/>
    <w:rsid w:val="696F20FA"/>
    <w:rsid w:val="697B1C0E"/>
    <w:rsid w:val="69871669"/>
    <w:rsid w:val="69B8584F"/>
    <w:rsid w:val="69BA1B42"/>
    <w:rsid w:val="69D022AC"/>
    <w:rsid w:val="69D60E81"/>
    <w:rsid w:val="6A076735"/>
    <w:rsid w:val="6A3223D6"/>
    <w:rsid w:val="6A3749C6"/>
    <w:rsid w:val="6A3D3FA6"/>
    <w:rsid w:val="6AFC3B0D"/>
    <w:rsid w:val="6B3477C6"/>
    <w:rsid w:val="6B43383E"/>
    <w:rsid w:val="6B9076FC"/>
    <w:rsid w:val="6CBA4EC0"/>
    <w:rsid w:val="6E8E44F0"/>
    <w:rsid w:val="6F5E2595"/>
    <w:rsid w:val="7016268B"/>
    <w:rsid w:val="70C94161"/>
    <w:rsid w:val="70DA60AB"/>
    <w:rsid w:val="70FA2079"/>
    <w:rsid w:val="72021D5D"/>
    <w:rsid w:val="72E621AC"/>
    <w:rsid w:val="72F145D4"/>
    <w:rsid w:val="737C78ED"/>
    <w:rsid w:val="74845C34"/>
    <w:rsid w:val="74FF07D6"/>
    <w:rsid w:val="756D5397"/>
    <w:rsid w:val="75901E34"/>
    <w:rsid w:val="75AF3FAA"/>
    <w:rsid w:val="76F361FD"/>
    <w:rsid w:val="77495B6E"/>
    <w:rsid w:val="77710C55"/>
    <w:rsid w:val="77FB3C8F"/>
    <w:rsid w:val="78194573"/>
    <w:rsid w:val="786B44CE"/>
    <w:rsid w:val="78F06C72"/>
    <w:rsid w:val="791A5BDE"/>
    <w:rsid w:val="79835BAD"/>
    <w:rsid w:val="7BA27DC6"/>
    <w:rsid w:val="7BC74134"/>
    <w:rsid w:val="7C705B15"/>
    <w:rsid w:val="7CEFAE81"/>
    <w:rsid w:val="7E0B727F"/>
    <w:rsid w:val="7E0D783A"/>
    <w:rsid w:val="7F3D4D8D"/>
    <w:rsid w:val="7F8871BD"/>
    <w:rsid w:val="7F9E2466"/>
    <w:rsid w:val="7FFD471D"/>
    <w:rsid w:val="9E7FA399"/>
    <w:rsid w:val="9FD63FB6"/>
    <w:rsid w:val="B3D7F2A1"/>
    <w:rsid w:val="DCDDAB39"/>
    <w:rsid w:val="E5DD0DBE"/>
    <w:rsid w:val="E7F62559"/>
    <w:rsid w:val="FB178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35"/>
    <w:qFormat/>
    <w:uiPriority w:val="0"/>
    <w:pPr>
      <w:keepNext/>
      <w:keepLines/>
      <w:numPr>
        <w:ilvl w:val="0"/>
        <w:numId w:val="1"/>
      </w:numPr>
      <w:tabs>
        <w:tab w:val="left" w:pos="425"/>
      </w:tabs>
      <w:spacing w:before="120" w:after="120" w:line="360" w:lineRule="auto"/>
      <w:outlineLvl w:val="0"/>
    </w:pPr>
    <w:rPr>
      <w:rFonts w:ascii="Times New Roman" w:hAnsi="Times New Roman" w:eastAsia="宋体" w:cs="Times New Roman"/>
      <w:b/>
      <w:bCs/>
      <w:kern w:val="44"/>
      <w:sz w:val="32"/>
      <w:szCs w:val="28"/>
    </w:rPr>
  </w:style>
  <w:style w:type="paragraph" w:styleId="3">
    <w:name w:val="heading 2"/>
    <w:basedOn w:val="4"/>
    <w:next w:val="1"/>
    <w:link w:val="36"/>
    <w:qFormat/>
    <w:uiPriority w:val="0"/>
    <w:pPr>
      <w:numPr>
        <w:ilvl w:val="1"/>
      </w:numPr>
      <w:tabs>
        <w:tab w:val="left" w:pos="567"/>
      </w:tabs>
      <w:outlineLvl w:val="1"/>
    </w:pPr>
    <w:rPr>
      <w:sz w:val="30"/>
    </w:rPr>
  </w:style>
  <w:style w:type="paragraph" w:styleId="4">
    <w:name w:val="heading 3"/>
    <w:basedOn w:val="1"/>
    <w:next w:val="1"/>
    <w:link w:val="37"/>
    <w:qFormat/>
    <w:uiPriority w:val="0"/>
    <w:pPr>
      <w:keepNext/>
      <w:keepLines/>
      <w:numPr>
        <w:ilvl w:val="2"/>
        <w:numId w:val="1"/>
      </w:numPr>
      <w:tabs>
        <w:tab w:val="left" w:pos="567"/>
      </w:tabs>
      <w:outlineLvl w:val="2"/>
    </w:pPr>
    <w:rPr>
      <w:rFonts w:ascii="Times New Roman" w:hAnsi="Times New Roman" w:eastAsia="宋体" w:cs="Times New Roman"/>
      <w:b/>
      <w:bCs/>
      <w:sz w:val="28"/>
      <w:szCs w:val="18"/>
    </w:rPr>
  </w:style>
  <w:style w:type="paragraph" w:styleId="5">
    <w:name w:val="heading 4"/>
    <w:basedOn w:val="1"/>
    <w:next w:val="1"/>
    <w:link w:val="38"/>
    <w:qFormat/>
    <w:uiPriority w:val="0"/>
    <w:pPr>
      <w:keepNext/>
      <w:keepLines/>
      <w:numPr>
        <w:ilvl w:val="3"/>
        <w:numId w:val="1"/>
      </w:numPr>
      <w:tabs>
        <w:tab w:val="left" w:pos="504"/>
      </w:tabs>
      <w:spacing w:before="120" w:after="120" w:line="360" w:lineRule="auto"/>
      <w:jc w:val="left"/>
      <w:outlineLvl w:val="3"/>
    </w:pPr>
    <w:rPr>
      <w:rFonts w:ascii="Times New Roman" w:hAnsi="Arial" w:eastAsia="宋体" w:cs="Times New Roman"/>
      <w:b/>
      <w:bCs/>
      <w:szCs w:val="28"/>
    </w:rPr>
  </w:style>
  <w:style w:type="paragraph" w:styleId="6">
    <w:name w:val="heading 5"/>
    <w:basedOn w:val="1"/>
    <w:next w:val="1"/>
    <w:link w:val="39"/>
    <w:qFormat/>
    <w:uiPriority w:val="0"/>
    <w:pPr>
      <w:keepNext/>
      <w:keepLines/>
      <w:numPr>
        <w:ilvl w:val="4"/>
        <w:numId w:val="1"/>
      </w:numPr>
      <w:spacing w:before="280" w:after="290" w:line="372" w:lineRule="auto"/>
      <w:ind w:firstLine="0"/>
      <w:jc w:val="left"/>
      <w:outlineLvl w:val="4"/>
    </w:pPr>
    <w:rPr>
      <w:rFonts w:ascii="Times New Roman" w:hAnsi="Times New Roman" w:eastAsia="宋体" w:cs="Times New Roman"/>
      <w:b/>
      <w:bCs/>
      <w:sz w:val="28"/>
      <w:szCs w:val="28"/>
    </w:rPr>
  </w:style>
  <w:style w:type="paragraph" w:styleId="7">
    <w:name w:val="heading 6"/>
    <w:basedOn w:val="6"/>
    <w:next w:val="1"/>
    <w:link w:val="40"/>
    <w:qFormat/>
    <w:uiPriority w:val="0"/>
    <w:pPr>
      <w:numPr>
        <w:ilvl w:val="5"/>
      </w:numPr>
      <w:tabs>
        <w:tab w:val="left" w:pos="1440"/>
      </w:tabs>
      <w:spacing w:before="260" w:after="260" w:line="360" w:lineRule="auto"/>
      <w:outlineLvl w:val="5"/>
    </w:pPr>
    <w:rPr>
      <w:sz w:val="30"/>
      <w:szCs w:val="18"/>
    </w:rPr>
  </w:style>
  <w:style w:type="paragraph" w:styleId="8">
    <w:name w:val="heading 7"/>
    <w:basedOn w:val="7"/>
    <w:next w:val="1"/>
    <w:link w:val="41"/>
    <w:qFormat/>
    <w:uiPriority w:val="0"/>
    <w:pPr>
      <w:numPr>
        <w:ilvl w:val="6"/>
      </w:numPr>
      <w:tabs>
        <w:tab w:val="left" w:pos="1800"/>
        <w:tab w:val="clear" w:pos="1440"/>
      </w:tabs>
      <w:outlineLvl w:val="6"/>
    </w:pPr>
  </w:style>
  <w:style w:type="paragraph" w:styleId="9">
    <w:name w:val="heading 8"/>
    <w:basedOn w:val="8"/>
    <w:next w:val="1"/>
    <w:link w:val="42"/>
    <w:qFormat/>
    <w:uiPriority w:val="0"/>
    <w:pPr>
      <w:numPr>
        <w:ilvl w:val="7"/>
      </w:numPr>
      <w:outlineLvl w:val="7"/>
    </w:pPr>
  </w:style>
  <w:style w:type="paragraph" w:styleId="10">
    <w:name w:val="heading 9"/>
    <w:basedOn w:val="9"/>
    <w:next w:val="1"/>
    <w:link w:val="43"/>
    <w:qFormat/>
    <w:uiPriority w:val="0"/>
    <w:pPr>
      <w:numPr>
        <w:ilvl w:val="8"/>
      </w:numPr>
      <w:tabs>
        <w:tab w:val="left" w:pos="2160"/>
        <w:tab w:val="clear" w:pos="1800"/>
      </w:tabs>
      <w:outlineLvl w:val="8"/>
    </w:p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semiHidden/>
    <w:unhideWhenUsed/>
    <w:qFormat/>
    <w:uiPriority w:val="99"/>
    <w:pPr>
      <w:jc w:val="left"/>
    </w:pPr>
  </w:style>
  <w:style w:type="paragraph" w:styleId="12">
    <w:name w:val="toc 3"/>
    <w:basedOn w:val="1"/>
    <w:next w:val="1"/>
    <w:semiHidden/>
    <w:unhideWhenUsed/>
    <w:qFormat/>
    <w:uiPriority w:val="39"/>
    <w:pPr>
      <w:ind w:left="840" w:leftChars="400"/>
    </w:pPr>
  </w:style>
  <w:style w:type="paragraph" w:styleId="13">
    <w:name w:val="Balloon Text"/>
    <w:basedOn w:val="1"/>
    <w:link w:val="34"/>
    <w:unhideWhenUsed/>
    <w:qFormat/>
    <w:uiPriority w:val="99"/>
    <w:rPr>
      <w:sz w:val="18"/>
      <w:szCs w:val="18"/>
    </w:r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ind w:left="420" w:leftChars="200"/>
    </w:pPr>
  </w:style>
  <w:style w:type="character" w:styleId="20">
    <w:name w:val="Strong"/>
    <w:basedOn w:val="19"/>
    <w:qFormat/>
    <w:uiPriority w:val="22"/>
    <w:rPr>
      <w:b/>
    </w:rPr>
  </w:style>
  <w:style w:type="character" w:styleId="21">
    <w:name w:val="FollowedHyperlink"/>
    <w:basedOn w:val="19"/>
    <w:unhideWhenUsed/>
    <w:qFormat/>
    <w:uiPriority w:val="99"/>
    <w:rPr>
      <w:color w:val="800080"/>
      <w:u w:val="none"/>
    </w:rPr>
  </w:style>
  <w:style w:type="character" w:styleId="22">
    <w:name w:val="Emphasis"/>
    <w:basedOn w:val="19"/>
    <w:qFormat/>
    <w:uiPriority w:val="20"/>
    <w:rPr>
      <w:rFonts w:ascii="ActionIcon ! important" w:hAnsi="ActionIcon ! important" w:eastAsia="ActionIcon ! important" w:cs="ActionIcon ! important"/>
      <w:b/>
      <w:vanish/>
      <w:color w:val="3D4B62"/>
      <w:sz w:val="24"/>
      <w:szCs w:val="24"/>
    </w:rPr>
  </w:style>
  <w:style w:type="character" w:styleId="23">
    <w:name w:val="HTML Definition"/>
    <w:basedOn w:val="19"/>
    <w:unhideWhenUsed/>
    <w:qFormat/>
    <w:uiPriority w:val="99"/>
  </w:style>
  <w:style w:type="character" w:styleId="24">
    <w:name w:val="HTML Typewriter"/>
    <w:basedOn w:val="19"/>
    <w:unhideWhenUsed/>
    <w:qFormat/>
    <w:uiPriority w:val="99"/>
    <w:rPr>
      <w:rFonts w:hint="default" w:ascii="monospace" w:hAnsi="monospace" w:eastAsia="monospace" w:cs="monospace"/>
      <w:sz w:val="20"/>
    </w:rPr>
  </w:style>
  <w:style w:type="character" w:styleId="25">
    <w:name w:val="HTML Acronym"/>
    <w:basedOn w:val="19"/>
    <w:unhideWhenUsed/>
    <w:qFormat/>
    <w:uiPriority w:val="99"/>
  </w:style>
  <w:style w:type="character" w:styleId="26">
    <w:name w:val="HTML Variable"/>
    <w:basedOn w:val="19"/>
    <w:unhideWhenUsed/>
    <w:qFormat/>
    <w:uiPriority w:val="99"/>
  </w:style>
  <w:style w:type="character" w:styleId="27">
    <w:name w:val="Hyperlink"/>
    <w:basedOn w:val="19"/>
    <w:qFormat/>
    <w:uiPriority w:val="99"/>
    <w:rPr>
      <w:color w:val="0000FF"/>
      <w:u w:val="single"/>
    </w:rPr>
  </w:style>
  <w:style w:type="character" w:styleId="28">
    <w:name w:val="HTML Code"/>
    <w:basedOn w:val="19"/>
    <w:unhideWhenUsed/>
    <w:qFormat/>
    <w:uiPriority w:val="99"/>
    <w:rPr>
      <w:rFonts w:ascii="monospace" w:hAnsi="monospace" w:eastAsia="monospace" w:cs="monospace"/>
      <w:sz w:val="20"/>
    </w:rPr>
  </w:style>
  <w:style w:type="character" w:styleId="29">
    <w:name w:val="HTML Cite"/>
    <w:basedOn w:val="19"/>
    <w:unhideWhenUsed/>
    <w:qFormat/>
    <w:uiPriority w:val="99"/>
  </w:style>
  <w:style w:type="character" w:styleId="30">
    <w:name w:val="HTML Keyboard"/>
    <w:basedOn w:val="19"/>
    <w:unhideWhenUsed/>
    <w:qFormat/>
    <w:uiPriority w:val="99"/>
    <w:rPr>
      <w:rFonts w:hint="default" w:ascii="monospace" w:hAnsi="monospace" w:eastAsia="monospace" w:cs="monospace"/>
      <w:sz w:val="20"/>
    </w:rPr>
  </w:style>
  <w:style w:type="character" w:styleId="31">
    <w:name w:val="HTML Sample"/>
    <w:basedOn w:val="19"/>
    <w:unhideWhenUsed/>
    <w:qFormat/>
    <w:uiPriority w:val="99"/>
    <w:rPr>
      <w:rFonts w:hint="default" w:ascii="monospace" w:hAnsi="monospace" w:eastAsia="monospace" w:cs="monospace"/>
    </w:rPr>
  </w:style>
  <w:style w:type="character" w:customStyle="1" w:styleId="32">
    <w:name w:val="页眉 Char"/>
    <w:basedOn w:val="19"/>
    <w:link w:val="15"/>
    <w:qFormat/>
    <w:uiPriority w:val="99"/>
    <w:rPr>
      <w:sz w:val="18"/>
      <w:szCs w:val="18"/>
    </w:rPr>
  </w:style>
  <w:style w:type="character" w:customStyle="1" w:styleId="33">
    <w:name w:val="页脚 Char"/>
    <w:basedOn w:val="19"/>
    <w:link w:val="14"/>
    <w:qFormat/>
    <w:uiPriority w:val="99"/>
    <w:rPr>
      <w:sz w:val="18"/>
      <w:szCs w:val="18"/>
    </w:rPr>
  </w:style>
  <w:style w:type="character" w:customStyle="1" w:styleId="34">
    <w:name w:val="批注框文本 Char"/>
    <w:basedOn w:val="19"/>
    <w:link w:val="13"/>
    <w:semiHidden/>
    <w:qFormat/>
    <w:uiPriority w:val="99"/>
    <w:rPr>
      <w:sz w:val="18"/>
      <w:szCs w:val="18"/>
    </w:rPr>
  </w:style>
  <w:style w:type="character" w:customStyle="1" w:styleId="35">
    <w:name w:val="标题 1 Char"/>
    <w:basedOn w:val="19"/>
    <w:link w:val="2"/>
    <w:qFormat/>
    <w:uiPriority w:val="0"/>
    <w:rPr>
      <w:rFonts w:ascii="Times New Roman" w:hAnsi="Times New Roman" w:eastAsia="宋体" w:cs="Times New Roman"/>
      <w:b/>
      <w:bCs/>
      <w:kern w:val="44"/>
      <w:sz w:val="32"/>
      <w:szCs w:val="28"/>
    </w:rPr>
  </w:style>
  <w:style w:type="character" w:customStyle="1" w:styleId="36">
    <w:name w:val="标题 2 Char"/>
    <w:basedOn w:val="19"/>
    <w:link w:val="3"/>
    <w:qFormat/>
    <w:uiPriority w:val="0"/>
    <w:rPr>
      <w:rFonts w:ascii="Times New Roman" w:hAnsi="Times New Roman" w:eastAsia="宋体" w:cs="Times New Roman"/>
      <w:b/>
      <w:bCs/>
      <w:sz w:val="30"/>
      <w:szCs w:val="18"/>
    </w:rPr>
  </w:style>
  <w:style w:type="character" w:customStyle="1" w:styleId="37">
    <w:name w:val="标题 3 Char"/>
    <w:basedOn w:val="19"/>
    <w:link w:val="4"/>
    <w:qFormat/>
    <w:uiPriority w:val="0"/>
    <w:rPr>
      <w:rFonts w:ascii="Times New Roman" w:hAnsi="Times New Roman" w:eastAsia="宋体" w:cs="Times New Roman"/>
      <w:b/>
      <w:bCs/>
      <w:sz w:val="28"/>
      <w:szCs w:val="18"/>
    </w:rPr>
  </w:style>
  <w:style w:type="character" w:customStyle="1" w:styleId="38">
    <w:name w:val="标题 4 Char"/>
    <w:basedOn w:val="19"/>
    <w:link w:val="5"/>
    <w:qFormat/>
    <w:uiPriority w:val="0"/>
    <w:rPr>
      <w:rFonts w:ascii="Times New Roman" w:hAnsi="Arial" w:eastAsia="宋体" w:cs="Times New Roman"/>
      <w:b/>
      <w:bCs/>
      <w:sz w:val="24"/>
      <w:szCs w:val="28"/>
    </w:rPr>
  </w:style>
  <w:style w:type="character" w:customStyle="1" w:styleId="39">
    <w:name w:val="标题 5 Char"/>
    <w:basedOn w:val="19"/>
    <w:link w:val="6"/>
    <w:qFormat/>
    <w:uiPriority w:val="0"/>
    <w:rPr>
      <w:rFonts w:ascii="Times New Roman" w:hAnsi="Times New Roman" w:eastAsia="宋体" w:cs="Times New Roman"/>
      <w:b/>
      <w:bCs/>
      <w:sz w:val="28"/>
      <w:szCs w:val="28"/>
    </w:rPr>
  </w:style>
  <w:style w:type="character" w:customStyle="1" w:styleId="40">
    <w:name w:val="标题 6 Char"/>
    <w:basedOn w:val="19"/>
    <w:link w:val="7"/>
    <w:qFormat/>
    <w:uiPriority w:val="0"/>
    <w:rPr>
      <w:rFonts w:ascii="Times New Roman" w:hAnsi="Times New Roman" w:eastAsia="宋体" w:cs="Times New Roman"/>
      <w:b/>
      <w:bCs/>
      <w:sz w:val="30"/>
      <w:szCs w:val="18"/>
    </w:rPr>
  </w:style>
  <w:style w:type="character" w:customStyle="1" w:styleId="41">
    <w:name w:val="标题 7 Char"/>
    <w:basedOn w:val="19"/>
    <w:link w:val="8"/>
    <w:qFormat/>
    <w:uiPriority w:val="0"/>
    <w:rPr>
      <w:rFonts w:ascii="Times New Roman" w:hAnsi="Times New Roman" w:eastAsia="宋体" w:cs="Times New Roman"/>
      <w:b/>
      <w:bCs/>
      <w:sz w:val="30"/>
      <w:szCs w:val="18"/>
    </w:rPr>
  </w:style>
  <w:style w:type="character" w:customStyle="1" w:styleId="42">
    <w:name w:val="标题 8 Char"/>
    <w:basedOn w:val="19"/>
    <w:link w:val="9"/>
    <w:qFormat/>
    <w:uiPriority w:val="0"/>
    <w:rPr>
      <w:rFonts w:ascii="Times New Roman" w:hAnsi="Times New Roman" w:eastAsia="宋体" w:cs="Times New Roman"/>
      <w:b/>
      <w:bCs/>
      <w:sz w:val="30"/>
      <w:szCs w:val="18"/>
    </w:rPr>
  </w:style>
  <w:style w:type="character" w:customStyle="1" w:styleId="43">
    <w:name w:val="标题 9 Char"/>
    <w:basedOn w:val="19"/>
    <w:link w:val="10"/>
    <w:qFormat/>
    <w:uiPriority w:val="0"/>
    <w:rPr>
      <w:rFonts w:ascii="Times New Roman" w:hAnsi="Times New Roman" w:eastAsia="宋体" w:cs="Times New Roman"/>
      <w:b/>
      <w:bCs/>
      <w:sz w:val="30"/>
      <w:szCs w:val="18"/>
    </w:rPr>
  </w:style>
  <w:style w:type="paragraph" w:styleId="4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934</Words>
  <Characters>5325</Characters>
  <Lines>44</Lines>
  <Paragraphs>12</Paragraphs>
  <TotalTime>0</TotalTime>
  <ScaleCrop>false</ScaleCrop>
  <LinksUpToDate>false</LinksUpToDate>
  <CharactersWithSpaces>6247</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2017-09-26T10:32:00Z</dcterms:created>
  <dc:creator>陈琼</dc:creator>
  <cp:lastModifiedBy>jyzx</cp:lastModifiedBy>
  <dcterms:modified xsi:type="dcterms:W3CDTF">2023-08-04T15:20:40Z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DEA35A91E4F742E7ACE699C8BAA239AC_13</vt:lpwstr>
  </property>
</Properties>
</file>