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inline distT="0" distB="0" distL="114300" distR="114300">
            <wp:extent cx="5271135" cy="1755140"/>
            <wp:effectExtent l="0" t="0" r="5715" b="1651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271135" cy="1755140"/>
                    </a:xfrm>
                    <a:prstGeom prst="rect">
                      <a:avLst/>
                    </a:prstGeom>
                    <a:noFill/>
                    <a:ln>
                      <a:noFill/>
                    </a:ln>
                  </pic:spPr>
                </pic:pic>
              </a:graphicData>
            </a:graphic>
          </wp:inline>
        </w:drawing>
      </w:r>
    </w:p>
    <w:p/>
    <w:p/>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jc w:val="center"/>
        <w:rPr>
          <w:rFonts w:asciiTheme="majorEastAsia" w:hAnsiTheme="majorEastAsia" w:eastAsiaTheme="majorEastAsia"/>
          <w:b/>
          <w:sz w:val="32"/>
          <w:szCs w:val="32"/>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0"/>
        <w:rPr>
          <w:rFonts w:hint="eastAsia" w:ascii="方正小标宋简体" w:hAnsi="方正小标宋简体" w:eastAsia="方正小标宋简体" w:cs="方正小标宋简体"/>
          <w:b w:val="0"/>
          <w:bCs/>
          <w:sz w:val="48"/>
          <w:szCs w:val="48"/>
        </w:rPr>
      </w:pPr>
      <w:bookmarkStart w:id="0" w:name="_Toc181363624"/>
      <w:bookmarkStart w:id="1" w:name="_Toc235656213"/>
      <w:bookmarkStart w:id="2" w:name="_Toc1784629680"/>
      <w:bookmarkStart w:id="3" w:name="_Toc904938997"/>
      <w:bookmarkStart w:id="4" w:name="_Toc4645"/>
      <w:bookmarkStart w:id="5" w:name="_Toc6207"/>
      <w:bookmarkStart w:id="6" w:name="_Toc125985180"/>
      <w:bookmarkStart w:id="7" w:name="_Toc19680"/>
      <w:r>
        <w:rPr>
          <w:rFonts w:hint="eastAsia" w:ascii="方正小标宋简体" w:hAnsi="方正小标宋简体" w:eastAsia="方正小标宋简体" w:cs="方正小标宋简体"/>
          <w:b w:val="0"/>
          <w:bCs/>
          <w:sz w:val="48"/>
          <w:szCs w:val="48"/>
        </w:rPr>
        <w:t>工程建设项目“一件事一次办”</w:t>
      </w:r>
      <w:bookmarkEnd w:id="0"/>
      <w:bookmarkEnd w:id="1"/>
      <w:bookmarkEnd w:id="2"/>
      <w:bookmarkEnd w:id="3"/>
    </w:p>
    <w:bookmarkEnd w:id="4"/>
    <w:bookmarkEnd w:id="5"/>
    <w:bookmarkEnd w:id="6"/>
    <w:bookmarkEnd w:id="7"/>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0"/>
        <w:rPr>
          <w:rFonts w:hint="eastAsia" w:ascii="方正小标宋简体" w:hAnsi="方正小标宋简体" w:eastAsia="方正小标宋简体" w:cs="方正小标宋简体"/>
          <w:b w:val="0"/>
          <w:bCs/>
          <w:sz w:val="48"/>
          <w:szCs w:val="48"/>
        </w:rPr>
      </w:pPr>
      <w:bookmarkStart w:id="8" w:name="_Toc1835008350"/>
      <w:bookmarkStart w:id="9" w:name="_Toc1940921795"/>
      <w:bookmarkStart w:id="10" w:name="_Toc1352121604"/>
      <w:bookmarkStart w:id="11" w:name="_Toc628301404"/>
      <w:r>
        <w:rPr>
          <w:rFonts w:hint="eastAsia" w:ascii="方正小标宋简体" w:hAnsi="方正小标宋简体" w:eastAsia="方正小标宋简体" w:cs="方正小标宋简体"/>
          <w:b w:val="0"/>
          <w:bCs/>
          <w:sz w:val="48"/>
          <w:szCs w:val="48"/>
        </w:rPr>
        <w:t>系统操作指南（投标人）</w:t>
      </w:r>
      <w:bookmarkEnd w:id="8"/>
      <w:bookmarkEnd w:id="9"/>
      <w:bookmarkEnd w:id="10"/>
      <w:bookmarkEnd w:id="11"/>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r>
        <w:rPr>
          <w:rFonts w:asciiTheme="majorEastAsia" w:hAnsiTheme="majorEastAsia" w:eastAsiaTheme="majorEastAsia"/>
          <w:b/>
          <w:sz w:val="32"/>
          <w:szCs w:val="32"/>
        </w:rPr>
        <w:t>2023</w:t>
      </w:r>
      <w:r>
        <w:rPr>
          <w:rFonts w:hint="eastAsia" w:asciiTheme="majorEastAsia" w:hAnsiTheme="majorEastAsia" w:eastAsiaTheme="majorEastAsia"/>
          <w:b/>
          <w:sz w:val="32"/>
          <w:szCs w:val="32"/>
        </w:rPr>
        <w:t>年0</w:t>
      </w:r>
      <w:r>
        <w:rPr>
          <w:rFonts w:hint="eastAsia" w:asciiTheme="majorEastAsia" w:hAnsiTheme="majorEastAsia" w:eastAsiaTheme="majorEastAsia"/>
          <w:b/>
          <w:sz w:val="32"/>
          <w:szCs w:val="32"/>
          <w:lang w:val="en-US" w:eastAsia="zh-CN"/>
        </w:rPr>
        <w:t>8</w:t>
      </w:r>
      <w:r>
        <w:rPr>
          <w:rFonts w:hint="eastAsia" w:asciiTheme="majorEastAsia" w:hAnsiTheme="majorEastAsia" w:eastAsiaTheme="majorEastAsia"/>
          <w:b/>
          <w:sz w:val="32"/>
          <w:szCs w:val="32"/>
        </w:rPr>
        <w:t>月</w:t>
      </w:r>
    </w:p>
    <w:p/>
    <w:p/>
    <w:p/>
    <w:p/>
    <w:sdt>
      <w:sdtPr>
        <w:rPr>
          <w:rFonts w:ascii="宋体" w:hAnsi="宋体" w:eastAsia="宋体"/>
          <w:b/>
          <w:bCs/>
          <w:sz w:val="32"/>
          <w:szCs w:val="32"/>
        </w:rPr>
        <w:id w:val="147458752"/>
        <w:docPartObj>
          <w:docPartGallery w:val="Table of Contents"/>
          <w:docPartUnique/>
        </w:docPartObj>
      </w:sdtPr>
      <w:sdtEndPr>
        <w:rPr>
          <w:rFonts w:hint="eastAsia" w:asciiTheme="minorEastAsia" w:hAnsiTheme="minorEastAsia" w:eastAsiaTheme="minorEastAsia" w:cstheme="minorEastAsia"/>
          <w:b/>
          <w:bCs/>
          <w:sz w:val="28"/>
          <w:szCs w:val="28"/>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16"/>
            <w:tabs>
              <w:tab w:val="right" w:leader="dot" w:pos="8306"/>
            </w:tabs>
            <w:rPr>
              <w:rFonts w:hint="eastAsia" w:ascii="宋体" w:hAnsi="宋体" w:eastAsia="宋体" w:cs="宋体"/>
              <w:sz w:val="24"/>
              <w:szCs w:val="24"/>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TOC \o "1-3" \h \u </w:instrText>
          </w:r>
          <w:r>
            <w:rPr>
              <w:rFonts w:hint="eastAsia" w:asciiTheme="minorEastAsia" w:hAnsiTheme="minorEastAsia" w:cstheme="minorEastAsia"/>
              <w:sz w:val="28"/>
              <w:szCs w:val="28"/>
            </w:rPr>
            <w:fldChar w:fldCharType="separate"/>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_Toc1983334771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一、 </w:t>
          </w:r>
          <w:r>
            <w:rPr>
              <w:rFonts w:hint="eastAsia" w:ascii="宋体" w:hAnsi="宋体" w:eastAsia="宋体" w:cs="宋体"/>
              <w:bCs/>
              <w:kern w:val="44"/>
              <w:sz w:val="24"/>
              <w:szCs w:val="24"/>
            </w:rPr>
            <w:t>系统</w:t>
          </w:r>
          <w:r>
            <w:rPr>
              <w:rFonts w:hint="eastAsia" w:ascii="宋体" w:hAnsi="宋体" w:eastAsia="宋体" w:cs="宋体"/>
              <w:bCs/>
              <w:kern w:val="44"/>
              <w:sz w:val="24"/>
              <w:szCs w:val="24"/>
              <w:lang w:eastAsia="zh-CN"/>
            </w:rPr>
            <w:t>入口及</w:t>
          </w:r>
          <w:r>
            <w:rPr>
              <w:rFonts w:hint="eastAsia" w:ascii="宋体" w:hAnsi="宋体" w:eastAsia="宋体" w:cs="宋体"/>
              <w:bCs/>
              <w:kern w:val="44"/>
              <w:sz w:val="24"/>
              <w:szCs w:val="24"/>
            </w:rPr>
            <w:t>登录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_Toc1983334771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_Toc680111384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二、 </w:t>
          </w:r>
          <w:r>
            <w:rPr>
              <w:rFonts w:hint="eastAsia" w:ascii="宋体" w:hAnsi="宋体" w:eastAsia="宋体" w:cs="宋体"/>
              <w:bCs/>
              <w:kern w:val="44"/>
              <w:sz w:val="24"/>
              <w:szCs w:val="24"/>
            </w:rPr>
            <w:t>领取招标文件/答疑澄清文件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_Toc680111384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_Toc1883608190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三、 </w:t>
          </w:r>
          <w:r>
            <w:rPr>
              <w:rFonts w:hint="eastAsia" w:ascii="宋体" w:hAnsi="宋体" w:eastAsia="宋体" w:cs="宋体"/>
              <w:bCs/>
              <w:kern w:val="44"/>
              <w:sz w:val="24"/>
              <w:szCs w:val="24"/>
            </w:rPr>
            <w:t>缴纳投标保证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_Toc1883608190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_Toc1673051553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rPr>
            <w:t>1、缴纳投标保证金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_Toc1673051553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_Toc740277287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rPr>
            <w:t>2、申请电子保函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_Toc740277287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_Toc1228958194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四、 </w:t>
          </w:r>
          <w:r>
            <w:rPr>
              <w:rFonts w:hint="eastAsia" w:ascii="宋体" w:hAnsi="宋体" w:eastAsia="宋体" w:cs="宋体"/>
              <w:bCs/>
              <w:kern w:val="44"/>
              <w:sz w:val="24"/>
              <w:szCs w:val="24"/>
            </w:rPr>
            <w:t>投标文件制作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_Toc1228958194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_Toc483773154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五、 </w:t>
          </w:r>
          <w:r>
            <w:rPr>
              <w:rFonts w:hint="eastAsia" w:ascii="宋体" w:hAnsi="宋体" w:eastAsia="宋体" w:cs="宋体"/>
              <w:bCs/>
              <w:kern w:val="44"/>
              <w:sz w:val="24"/>
              <w:szCs w:val="24"/>
            </w:rPr>
            <w:t>上传投标文件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_Toc483773154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_Toc792619937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六、 </w:t>
          </w:r>
          <w:r>
            <w:rPr>
              <w:rFonts w:hint="eastAsia" w:ascii="宋体" w:hAnsi="宋体" w:eastAsia="宋体" w:cs="宋体"/>
              <w:bCs/>
              <w:kern w:val="44"/>
              <w:sz w:val="24"/>
              <w:szCs w:val="24"/>
            </w:rPr>
            <w:t>网上开标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_Toc792619937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_Toc1811140839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1、进入</w:t>
          </w:r>
          <w:r>
            <w:rPr>
              <w:rFonts w:hint="eastAsia" w:ascii="宋体" w:hAnsi="宋体" w:eastAsia="宋体" w:cs="宋体"/>
              <w:sz w:val="24"/>
              <w:szCs w:val="24"/>
              <w:lang w:eastAsia="zh-CN"/>
            </w:rPr>
            <w:t>网上</w:t>
          </w:r>
          <w:r>
            <w:rPr>
              <w:rFonts w:hint="eastAsia" w:ascii="宋体" w:hAnsi="宋体" w:eastAsia="宋体" w:cs="宋体"/>
              <w:sz w:val="24"/>
              <w:szCs w:val="24"/>
            </w:rPr>
            <w:t>开标系统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_Toc1811140839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_Toc879711294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网上</w:t>
          </w:r>
          <w:r>
            <w:rPr>
              <w:rFonts w:hint="eastAsia" w:ascii="宋体" w:hAnsi="宋体" w:eastAsia="宋体" w:cs="宋体"/>
              <w:sz w:val="24"/>
              <w:szCs w:val="24"/>
            </w:rPr>
            <w:t>开标准备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_Toc879711294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_Toc1817788656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w:t>
          </w:r>
          <w:r>
            <w:rPr>
              <w:rFonts w:hint="eastAsia" w:ascii="宋体" w:hAnsi="宋体" w:eastAsia="宋体" w:cs="宋体"/>
              <w:sz w:val="24"/>
              <w:szCs w:val="24"/>
            </w:rPr>
            <w:t>等待开标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_Toc1817788656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_Toc1718748097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w:t>
          </w:r>
          <w:r>
            <w:rPr>
              <w:rFonts w:hint="eastAsia" w:ascii="宋体" w:hAnsi="宋体" w:eastAsia="宋体" w:cs="宋体"/>
              <w:sz w:val="24"/>
              <w:szCs w:val="24"/>
            </w:rPr>
            <w:t>查看投标人名单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_Toc1718748097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_Toc1851422991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w:t>
          </w:r>
          <w:r>
            <w:rPr>
              <w:rFonts w:hint="eastAsia" w:ascii="宋体" w:hAnsi="宋体" w:eastAsia="宋体" w:cs="宋体"/>
              <w:sz w:val="24"/>
              <w:szCs w:val="24"/>
            </w:rPr>
            <w:t>投标人解密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_Toc1851422991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_Toc332619760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w:t>
          </w:r>
          <w:r>
            <w:rPr>
              <w:rFonts w:hint="eastAsia" w:ascii="宋体" w:hAnsi="宋体" w:eastAsia="宋体" w:cs="宋体"/>
              <w:sz w:val="24"/>
              <w:szCs w:val="24"/>
            </w:rPr>
            <w:t>唱标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_Toc332619760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_Toc107173111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开标</w:t>
          </w:r>
          <w:r>
            <w:rPr>
              <w:rFonts w:hint="eastAsia" w:ascii="宋体" w:hAnsi="宋体" w:eastAsia="宋体" w:cs="宋体"/>
              <w:sz w:val="24"/>
              <w:szCs w:val="24"/>
            </w:rPr>
            <w:t>异议</w:t>
          </w:r>
          <w:r>
            <w:rPr>
              <w:rFonts w:hint="eastAsia" w:ascii="宋体" w:hAnsi="宋体" w:eastAsia="宋体" w:cs="宋体"/>
              <w:sz w:val="24"/>
              <w:szCs w:val="24"/>
              <w:lang w:eastAsia="zh-CN"/>
            </w:rPr>
            <w:t>处置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_Toc107173111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_Toc1532768557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8、</w:t>
          </w:r>
          <w:r>
            <w:rPr>
              <w:rFonts w:hint="eastAsia" w:ascii="宋体" w:hAnsi="宋体" w:eastAsia="宋体" w:cs="宋体"/>
              <w:sz w:val="24"/>
              <w:szCs w:val="24"/>
            </w:rPr>
            <w:t>唱标确认（投标人操作）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_Toc1532768557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_Toc1266139906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9、</w:t>
          </w:r>
          <w:r>
            <w:rPr>
              <w:rFonts w:hint="eastAsia" w:ascii="宋体" w:hAnsi="宋体" w:eastAsia="宋体" w:cs="宋体"/>
              <w:sz w:val="24"/>
              <w:szCs w:val="24"/>
            </w:rPr>
            <w:t>开标结束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_Toc1266139906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_Toc68061390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七、 </w:t>
          </w:r>
          <w:r>
            <w:rPr>
              <w:rFonts w:hint="eastAsia" w:ascii="宋体" w:hAnsi="宋体" w:eastAsia="宋体" w:cs="宋体"/>
              <w:bCs/>
              <w:kern w:val="44"/>
              <w:sz w:val="24"/>
              <w:szCs w:val="24"/>
            </w:rPr>
            <w:t>评标澄清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_Toc68061390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_Toc739867957 </w:instrText>
          </w:r>
          <w:r>
            <w:rPr>
              <w:rFonts w:hint="eastAsia" w:ascii="宋体" w:hAnsi="宋体" w:eastAsia="宋体" w:cs="宋体"/>
              <w:sz w:val="24"/>
              <w:szCs w:val="24"/>
            </w:rPr>
            <w:fldChar w:fldCharType="separate"/>
          </w:r>
          <w:r>
            <w:rPr>
              <w:rFonts w:hint="eastAsia" w:ascii="宋体" w:hAnsi="宋体" w:eastAsia="宋体" w:cs="宋体"/>
              <w:bCs/>
              <w:kern w:val="44"/>
              <w:sz w:val="24"/>
              <w:szCs w:val="24"/>
              <w:lang w:val="en-US"/>
            </w:rPr>
            <w:t xml:space="preserve">八、 </w:t>
          </w:r>
          <w:r>
            <w:rPr>
              <w:rFonts w:hint="eastAsia" w:ascii="宋体" w:hAnsi="宋体" w:eastAsia="宋体" w:cs="宋体"/>
              <w:bCs/>
              <w:kern w:val="44"/>
              <w:sz w:val="24"/>
              <w:szCs w:val="24"/>
            </w:rPr>
            <w:t>其他</w:t>
          </w:r>
          <w:r>
            <w:rPr>
              <w:rFonts w:hint="eastAsia" w:ascii="宋体" w:hAnsi="宋体" w:eastAsia="宋体" w:cs="宋体"/>
              <w:bCs/>
              <w:kern w:val="44"/>
              <w:sz w:val="24"/>
              <w:szCs w:val="24"/>
              <w:lang w:eastAsia="zh-CN"/>
            </w:rPr>
            <w:t>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_Toc739867957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rPr>
              <w:rFonts w:asciiTheme="minorEastAsia" w:hAnsiTheme="minorEastAsia" w:cstheme="minorEastAsia"/>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szCs w:val="28"/>
            </w:rPr>
            <w:fldChar w:fldCharType="end"/>
          </w:r>
          <w:bookmarkStart w:id="70" w:name="_GoBack"/>
          <w:bookmarkEnd w:id="70"/>
        </w:p>
      </w:sdtContent>
    </w:sdt>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12" w:name="_Toc13461"/>
      <w:bookmarkStart w:id="13" w:name="_Toc1983334771"/>
      <w:r>
        <w:rPr>
          <w:rFonts w:hint="eastAsia" w:ascii="Times New Roman" w:hAnsi="Times New Roman" w:eastAsia="宋体" w:cs="Times New Roman"/>
          <w:b/>
          <w:bCs/>
          <w:color w:val="000000" w:themeColor="text1"/>
          <w:kern w:val="44"/>
          <w:sz w:val="32"/>
          <w:szCs w:val="28"/>
          <w14:textFill>
            <w14:solidFill>
              <w14:schemeClr w14:val="tx1"/>
            </w14:solidFill>
          </w14:textFill>
        </w:rPr>
        <w:t>系统</w:t>
      </w:r>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入口及</w:t>
      </w:r>
      <w:r>
        <w:rPr>
          <w:rFonts w:hint="eastAsia" w:ascii="Times New Roman" w:hAnsi="Times New Roman" w:eastAsia="宋体" w:cs="Times New Roman"/>
          <w:b/>
          <w:bCs/>
          <w:color w:val="000000" w:themeColor="text1"/>
          <w:kern w:val="44"/>
          <w:sz w:val="32"/>
          <w:szCs w:val="28"/>
          <w14:textFill>
            <w14:solidFill>
              <w14:schemeClr w14:val="tx1"/>
            </w14:solidFill>
          </w14:textFill>
        </w:rPr>
        <w:t>登录</w:t>
      </w:r>
      <w:bookmarkEnd w:id="12"/>
      <w:bookmarkEnd w:id="13"/>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搜索“湖南省人民政府门户网站”或直接在浏览器输入“</w:t>
      </w:r>
      <w:r>
        <w:rPr>
          <w:rFonts w:hint="default"/>
          <w:color w:val="000000" w:themeColor="text1"/>
          <w:sz w:val="24"/>
          <w:lang w:val="en" w:eastAsia="zh-CN"/>
          <w14:textFill>
            <w14:solidFill>
              <w14:schemeClr w14:val="tx1"/>
            </w14:solidFill>
          </w14:textFill>
        </w:rPr>
        <w:t>http://www.hunan.gov.cn</w:t>
      </w:r>
      <w:r>
        <w:rPr>
          <w:rFonts w:hint="eastAsia"/>
          <w:color w:val="000000" w:themeColor="text1"/>
          <w:sz w:val="24"/>
          <w:lang w:val="en-US" w:eastAsia="zh-CN"/>
          <w14:textFill>
            <w14:solidFill>
              <w14:schemeClr w14:val="tx1"/>
            </w14:solidFill>
          </w14:textFill>
        </w:rPr>
        <w:t>”，进入网站后点击“一件事一次办”栏目，进入“一件事一次办专栏网站”（http://zwfw-new.hunan.gov.cn）</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点击“一件事一次办服务专区”，选择“主题式套餐式场景应用</w:t>
      </w:r>
      <w:r>
        <w:rPr>
          <w:rFonts w:hint="eastAsia"/>
          <w:color w:val="000000" w:themeColor="text1"/>
          <w:sz w:val="24"/>
          <w:lang w:val="en-US" w:eastAsia="zh-CN"/>
          <w14:textFill>
            <w14:solidFill>
              <w14:schemeClr w14:val="tx1"/>
            </w14:solidFill>
          </w14:textFill>
        </w:rPr>
        <w:t>-</w:t>
      </w:r>
      <w:r>
        <w:rPr>
          <w:rFonts w:hint="eastAsia"/>
          <w:color w:val="000000" w:themeColor="text1"/>
          <w:sz w:val="24"/>
          <w:lang w:val="en" w:eastAsia="zh-CN"/>
          <w14:textFill>
            <w14:solidFill>
              <w14:schemeClr w14:val="tx1"/>
            </w14:solidFill>
          </w14:textFill>
        </w:rPr>
        <w:t>项目全周期应用”，点击“公共资源交易”，进入到“公共资源交易主题服务”页面。</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交易公告、今日开标信息、办事指南（服务清单、服务指南）无需登录，可直接查询和下载。</w:t>
      </w:r>
    </w:p>
    <w:p>
      <w:pPr>
        <w:numPr>
          <w:ilvl w:val="0"/>
          <w:numId w:val="2"/>
        </w:numPr>
        <w:ind w:firstLine="480" w:firstLineChars="200"/>
        <w:rPr>
          <w:rFonts w:hint="default"/>
          <w:color w:val="000000" w:themeColor="text1"/>
          <w:sz w:val="24"/>
          <w:lang w:val="en" w:eastAsia="zh-CN"/>
          <w14:textFill>
            <w14:solidFill>
              <w14:schemeClr w14:val="tx1"/>
            </w14:solidFill>
          </w14:textFill>
        </w:rPr>
      </w:pPr>
      <w:r>
        <w:rPr>
          <w:rFonts w:hint="eastAsia"/>
          <w:color w:val="000000" w:themeColor="text1"/>
          <w:sz w:val="24"/>
          <w:lang w:val="en" w:eastAsia="zh-CN"/>
          <w14:textFill>
            <w14:solidFill>
              <w14:schemeClr w14:val="tx1"/>
            </w14:solidFill>
          </w14:textFill>
        </w:rPr>
        <w:t>交易项目总揽、立即办理需要用户登录后才能办理。</w:t>
      </w:r>
    </w:p>
    <w:p>
      <w:pPr>
        <w:jc w:val="center"/>
        <w:rPr>
          <w:color w:val="000000" w:themeColor="text1"/>
          <w:sz w:val="24"/>
          <w14:textFill>
            <w14:solidFill>
              <w14:schemeClr w14:val="tx1"/>
            </w14:solidFill>
          </w14:textFill>
        </w:rPr>
      </w:pPr>
      <w:r>
        <w:rPr>
          <w:sz w:val="24"/>
        </w:rPr>
        <w:drawing>
          <wp:inline distT="0" distB="0" distL="0" distR="0">
            <wp:extent cx="3959860" cy="1896745"/>
            <wp:effectExtent l="0" t="0" r="2540" b="8255"/>
            <wp:docPr id="6" name="图片 6" descr="C:\Users\尚小楼\Desktop\0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尚小楼\Desktop\02.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3960000" cy="1897200"/>
                    </a:xfrm>
                    <a:prstGeom prst="rect">
                      <a:avLst/>
                    </a:prstGeom>
                    <a:noFill/>
                    <a:ln>
                      <a:noFill/>
                    </a:ln>
                  </pic:spPr>
                </pic:pic>
              </a:graphicData>
            </a:graphic>
          </wp:inline>
        </w:drawing>
      </w:r>
    </w:p>
    <w:p>
      <w:pPr>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点击</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立即办理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p>
    <w:p>
      <w:pPr>
        <w:jc w:val="center"/>
        <w:rPr>
          <w:color w:val="000000" w:themeColor="text1"/>
          <w:sz w:val="24"/>
          <w14:textFill>
            <w14:solidFill>
              <w14:schemeClr w14:val="tx1"/>
            </w14:solidFill>
          </w14:textFill>
        </w:rPr>
      </w:pPr>
    </w:p>
    <w:p>
      <w:pPr>
        <w:jc w:val="center"/>
        <w:rPr>
          <w:color w:val="000000" w:themeColor="text1"/>
          <w:sz w:val="24"/>
          <w14:textFill>
            <w14:solidFill>
              <w14:schemeClr w14:val="tx1"/>
            </w14:solidFill>
          </w14:textFill>
        </w:rPr>
      </w:pPr>
      <w:r>
        <w:rPr>
          <w:sz w:val="24"/>
        </w:rPr>
        <w:drawing>
          <wp:inline distT="0" distB="0" distL="0" distR="0">
            <wp:extent cx="3959860" cy="1893570"/>
            <wp:effectExtent l="0" t="0" r="2540" b="1143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stretch>
                      <a:fillRect/>
                    </a:stretch>
                  </pic:blipFill>
                  <pic:spPr>
                    <a:xfrm>
                      <a:off x="0" y="0"/>
                      <a:ext cx="3960000" cy="1893600"/>
                    </a:xfrm>
                    <a:prstGeom prst="rect">
                      <a:avLst/>
                    </a:prstGeom>
                  </pic:spPr>
                </pic:pic>
              </a:graphicData>
            </a:graphic>
          </wp:inline>
        </w:drawing>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选择</w:t>
      </w:r>
      <w:r>
        <w:rPr>
          <w:rFonts w:hint="eastAsia"/>
          <w:color w:val="000000" w:themeColor="text1"/>
          <w:sz w:val="24"/>
          <w14:textFill>
            <w14:solidFill>
              <w14:schemeClr w14:val="tx1"/>
            </w14:solidFill>
          </w14:textFill>
        </w:rPr>
        <w:t>湖南省</w:t>
      </w:r>
      <w:r>
        <w:rPr>
          <w:color w:val="000000" w:themeColor="text1"/>
          <w:sz w:val="24"/>
          <w14:textFill>
            <w14:solidFill>
              <w14:schemeClr w14:val="tx1"/>
            </w14:solidFill>
          </w14:textFill>
        </w:rPr>
        <w:t>公共资源交易平台登录</w:t>
      </w:r>
      <w:r>
        <w:rPr>
          <w:rFonts w:hint="eastAsia"/>
          <w:color w:val="000000" w:themeColor="text1"/>
          <w:sz w:val="24"/>
          <w14:textFill>
            <w14:solidFill>
              <w14:schemeClr w14:val="tx1"/>
            </w14:solidFill>
          </w14:textFill>
        </w:rPr>
        <w:t>。</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896745"/>
            <wp:effectExtent l="0" t="0" r="2540" b="8255"/>
            <wp:docPr id="11" name="图片 11" descr="C:\Users\尚小楼\Desktop\0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C:\Users\尚小楼\Desktop\03.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3960000" cy="1897200"/>
                    </a:xfrm>
                    <a:prstGeom prst="rect">
                      <a:avLst/>
                    </a:prstGeom>
                    <a:noFill/>
                    <a:ln>
                      <a:noFill/>
                    </a:ln>
                  </pic:spPr>
                </pic:pic>
              </a:graphicData>
            </a:graphic>
          </wp:inline>
        </w:drawing>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完成交易主体类型选择、交易类型选择及行业选择。</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900555"/>
            <wp:effectExtent l="0" t="0" r="2540" b="444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3960000" cy="1900800"/>
                    </a:xfrm>
                    <a:prstGeom prst="rect">
                      <a:avLst/>
                    </a:prstGeom>
                  </pic:spPr>
                </pic:pic>
              </a:graphicData>
            </a:graphic>
          </wp:inline>
        </w:drawing>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完成前序工作后，即可进入具体办事环节。</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59860" cy="1900555"/>
            <wp:effectExtent l="0" t="0" r="2540" b="444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3960000" cy="1900800"/>
                    </a:xfrm>
                    <a:prstGeom prst="rect">
                      <a:avLst/>
                    </a:prstGeom>
                  </pic:spPr>
                </pic:pic>
              </a:graphicData>
            </a:graphic>
          </wp:inline>
        </w:drawing>
      </w:r>
    </w:p>
    <w:p>
      <w:pPr>
        <w:ind w:firstLine="481" w:firstLineChars="200"/>
        <w:jc w:val="left"/>
        <w:rPr>
          <w:rFonts w:ascii="仿宋" w:hAnsi="仿宋" w:eastAsia="仿宋"/>
          <w:b/>
          <w:color w:val="000000" w:themeColor="text1"/>
          <w:sz w:val="32"/>
          <w:szCs w:val="32"/>
          <w14:textFill>
            <w14:solidFill>
              <w14:schemeClr w14:val="tx1"/>
            </w14:solidFill>
          </w14:textFill>
        </w:rPr>
      </w:pPr>
      <w:r>
        <w:rPr>
          <w:rFonts w:hint="eastAsia"/>
          <w:b/>
          <w:bCs/>
          <w:color w:val="000000" w:themeColor="text1"/>
          <w:sz w:val="24"/>
          <w:lang w:eastAsia="zh-CN"/>
          <w14:textFill>
            <w14:solidFill>
              <w14:schemeClr w14:val="tx1"/>
            </w14:solidFill>
          </w14:textFill>
        </w:rPr>
        <w:t>注意：</w:t>
      </w:r>
      <w:r>
        <w:rPr>
          <w:rFonts w:hint="eastAsia"/>
          <w:color w:val="000000" w:themeColor="text1"/>
          <w:sz w:val="24"/>
          <w14:textFill>
            <w14:solidFill>
              <w14:schemeClr w14:val="tx1"/>
            </w14:solidFill>
          </w14:textFill>
        </w:rPr>
        <w:t>未注册账号的用户，请</w:t>
      </w:r>
      <w:r>
        <w:rPr>
          <w:rFonts w:hint="eastAsia"/>
          <w:color w:val="000000" w:themeColor="text1"/>
          <w:sz w:val="24"/>
          <w:lang w:eastAsia="zh-CN"/>
          <w14:textFill>
            <w14:solidFill>
              <w14:schemeClr w14:val="tx1"/>
            </w14:solidFill>
          </w14:textFill>
        </w:rPr>
        <w:t>通过系统引导进行注册，并跳转至“公共资源交易统一注册平台”完善相关信息，完成相关实名制信息</w:t>
      </w:r>
      <w:r>
        <w:rPr>
          <w:rFonts w:hint="eastAsia"/>
          <w:color w:val="000000" w:themeColor="text1"/>
          <w:sz w:val="24"/>
          <w14:textFill>
            <w14:solidFill>
              <w14:schemeClr w14:val="tx1"/>
            </w14:solidFill>
          </w14:textFill>
        </w:rPr>
        <w:t>。已注册账号的用户直接登录交易系统，无需重复注册。</w:t>
      </w:r>
    </w:p>
    <w:p>
      <w:pPr>
        <w:keepNext w:val="0"/>
        <w:keepLines w:val="0"/>
        <w:widowControl/>
        <w:suppressLineNumbers w:val="0"/>
        <w:ind w:firstLine="480" w:firstLineChars="200"/>
        <w:jc w:val="left"/>
      </w:pPr>
      <w:r>
        <w:rPr>
          <w:rFonts w:hint="eastAsia"/>
          <w:color w:val="FF0000"/>
          <w:sz w:val="24"/>
          <w:highlight w:val="yellow"/>
          <w:shd w:val="clear" w:color="auto" w:fill="FFC000"/>
        </w:rPr>
        <w:t>温馨提示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若登录注册平台提示已注册，交易系统又提示</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“未匹配到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***单位主体信息”，请先到注册平台</w:t>
      </w:r>
      <w:r>
        <w:rPr>
          <w:rFonts w:hint="eastAsia"/>
          <w:color w:val="000000" w:themeColor="text1"/>
          <w:sz w:val="24"/>
          <w:lang w:eastAsia="zh-CN"/>
          <w14:textFill>
            <w14:solidFill>
              <w14:schemeClr w14:val="tx1"/>
            </w14:solidFill>
          </w14:textFill>
        </w:rPr>
        <w:t>（http://222.240.80.14:8888/G2/）</w:t>
      </w:r>
      <w:r>
        <w:rPr>
          <w:color w:val="000000" w:themeColor="text1"/>
          <w:sz w:val="24"/>
          <w14:textFill>
            <w14:solidFill>
              <w14:schemeClr w14:val="tx1"/>
            </w14:solidFill>
          </w14:textFill>
        </w:rPr>
        <w:t>找回账号密码后，登录注册平台完善信息提交之后</w:t>
      </w:r>
      <w:r>
        <w:rPr>
          <w:rFonts w:hint="eastAsia"/>
          <w:color w:val="000000" w:themeColor="text1"/>
          <w:sz w:val="24"/>
          <w14:textFill>
            <w14:solidFill>
              <w14:schemeClr w14:val="tx1"/>
            </w14:solidFill>
          </w14:textFill>
        </w:rPr>
        <w:t>，再尝试登录湖南一件事一次办“公共资源交易”一件事主题服务网站</w:t>
      </w:r>
      <w:r>
        <w:rPr>
          <w:rFonts w:hint="eastAsia"/>
          <w:color w:val="000000" w:themeColor="text1"/>
          <w:sz w:val="24"/>
          <w:lang w:eastAsia="zh-CN"/>
          <w14:textFill>
            <w14:solidFill>
              <w14:schemeClr w14:val="tx1"/>
            </w14:solidFill>
          </w14:textFill>
        </w:rPr>
        <w:t>，统一注册平台使用技术支持电话：</w:t>
      </w:r>
      <w:r>
        <w:rPr>
          <w:rFonts w:hint="eastAsia"/>
          <w:color w:val="000000" w:themeColor="text1"/>
          <w:sz w:val="24"/>
          <w:lang w:val="en-US" w:eastAsia="zh-CN"/>
          <w14:textFill>
            <w14:solidFill>
              <w14:schemeClr w14:val="tx1"/>
            </w14:solidFill>
          </w14:textFill>
        </w:rPr>
        <w:t>19372007716。</w:t>
      </w:r>
    </w:p>
    <w:p>
      <w:pPr>
        <w:ind w:firstLine="480" w:firstLineChars="200"/>
        <w:jc w:val="left"/>
        <w:rPr>
          <w:rFonts w:hint="eastAsia" w:eastAsiaTheme="minorEastAsia"/>
          <w:color w:val="000000" w:themeColor="text1"/>
          <w:sz w:val="24"/>
          <w:lang w:eastAsia="zh-CN"/>
          <w14:textFill>
            <w14:solidFill>
              <w14:schemeClr w14:val="tx1"/>
            </w14:solidFill>
          </w14:textFill>
        </w:rPr>
      </w:pPr>
    </w:p>
    <w:p>
      <w:pPr>
        <w:rPr>
          <w:rFonts w:ascii="宋体" w:hAnsi="宋体" w:eastAsia="宋体" w:cs="宋体"/>
          <w:sz w:val="24"/>
          <w:szCs w:val="24"/>
        </w:rPr>
      </w:pPr>
      <w:bookmarkStart w:id="14" w:name="_Toc493610177"/>
      <w:bookmarkStart w:id="15" w:name="_Toc405561964"/>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16" w:name="_Toc125985185"/>
      <w:bookmarkStart w:id="17" w:name="_Toc25906"/>
      <w:bookmarkStart w:id="18" w:name="_Toc680111384"/>
      <w:bookmarkStart w:id="19" w:name="_Toc16502"/>
      <w:bookmarkStart w:id="20" w:name="_Toc21746"/>
      <w:r>
        <w:rPr>
          <w:rFonts w:hint="eastAsia" w:ascii="Times New Roman" w:hAnsi="Times New Roman" w:eastAsia="宋体" w:cs="Times New Roman"/>
          <w:b/>
          <w:bCs/>
          <w:color w:val="000000" w:themeColor="text1"/>
          <w:kern w:val="44"/>
          <w:sz w:val="32"/>
          <w:szCs w:val="28"/>
          <w14:textFill>
            <w14:solidFill>
              <w14:schemeClr w14:val="tx1"/>
            </w14:solidFill>
          </w14:textFill>
        </w:rPr>
        <w:t>领取招标文件/答疑澄清文件</w:t>
      </w:r>
      <w:bookmarkEnd w:id="16"/>
      <w:bookmarkEnd w:id="17"/>
      <w:bookmarkEnd w:id="18"/>
      <w:bookmarkEnd w:id="19"/>
      <w:bookmarkEnd w:id="20"/>
    </w:p>
    <w:p>
      <w:pPr>
        <w:numPr>
          <w:ilvl w:val="0"/>
          <w:numId w:val="3"/>
        </w:numPr>
        <w:ind w:firstLine="481"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领取招标文件</w:t>
      </w:r>
    </w:p>
    <w:p>
      <w:pPr>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在</w:t>
      </w:r>
      <w:r>
        <w:rPr>
          <w:rFonts w:hint="eastAsia" w:ascii="宋体" w:hAnsi="宋体" w:eastAsia="宋体" w:cs="宋体"/>
          <w:sz w:val="24"/>
          <w:szCs w:val="24"/>
          <w:lang w:eastAsia="zh-CN"/>
        </w:rPr>
        <w:t>“</w:t>
      </w:r>
      <w:r>
        <w:rPr>
          <w:rFonts w:hint="eastAsia" w:ascii="宋体" w:hAnsi="宋体" w:eastAsia="宋体" w:cs="宋体"/>
          <w:sz w:val="24"/>
          <w:szCs w:val="24"/>
        </w:rPr>
        <w:t>招标文件领取</w:t>
      </w:r>
      <w:r>
        <w:rPr>
          <w:rFonts w:hint="eastAsia" w:ascii="宋体" w:hAnsi="宋体" w:eastAsia="宋体" w:cs="宋体"/>
          <w:sz w:val="24"/>
          <w:szCs w:val="24"/>
          <w:lang w:eastAsia="zh-CN"/>
        </w:rPr>
        <w:t>”</w:t>
      </w:r>
      <w:r>
        <w:rPr>
          <w:rFonts w:hint="eastAsia" w:ascii="宋体" w:hAnsi="宋体" w:eastAsia="宋体" w:cs="宋体"/>
          <w:sz w:val="24"/>
          <w:szCs w:val="24"/>
        </w:rPr>
        <w:t xml:space="preserve"> 菜单进行标书领取，可自行在系统下载“投标文件制作软件”进行标书制作，如需办理电子保函也可以点击“保证金创新服务支撑管理系统”进行电子保函办理</w:t>
      </w:r>
      <w:r>
        <w:rPr>
          <w:rFonts w:hint="eastAsia" w:ascii="宋体" w:hAnsi="宋体" w:eastAsia="宋体" w:cs="宋体"/>
          <w:sz w:val="24"/>
          <w:szCs w:val="24"/>
          <w:lang w:eastAsia="zh-CN"/>
        </w:rPr>
        <w:t>。</w:t>
      </w:r>
    </w:p>
    <w:p>
      <w:pPr>
        <w:jc w:val="center"/>
        <w:rPr>
          <w:rFonts w:ascii="宋体" w:hAnsi="宋体" w:eastAsia="宋体" w:cs="宋体"/>
          <w:b/>
          <w:sz w:val="24"/>
          <w:szCs w:val="24"/>
        </w:rPr>
      </w:pPr>
      <w:r>
        <w:drawing>
          <wp:inline distT="0" distB="0" distL="114300" distR="114300">
            <wp:extent cx="3959860" cy="3311525"/>
            <wp:effectExtent l="0" t="0" r="2540" b="3175"/>
            <wp:docPr id="4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true"/>
                    </pic:cNvPicPr>
                  </pic:nvPicPr>
                  <pic:blipFill>
                    <a:blip r:embed="rId12"/>
                    <a:stretch>
                      <a:fillRect/>
                    </a:stretch>
                  </pic:blipFill>
                  <pic:spPr>
                    <a:xfrm>
                      <a:off x="0" y="0"/>
                      <a:ext cx="3960000" cy="3312000"/>
                    </a:xfrm>
                    <a:prstGeom prst="rect">
                      <a:avLst/>
                    </a:prstGeom>
                    <a:noFill/>
                    <a:ln>
                      <a:noFill/>
                    </a:ln>
                  </pic:spPr>
                </pic:pic>
              </a:graphicData>
            </a:graphic>
          </wp:inline>
        </w:drawing>
      </w:r>
      <w:r>
        <w:drawing>
          <wp:inline distT="0" distB="0" distL="114300" distR="114300">
            <wp:extent cx="3959860" cy="848995"/>
            <wp:effectExtent l="0" t="0" r="2540" b="8255"/>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pic:cNvPicPr>
                  </pic:nvPicPr>
                  <pic:blipFill>
                    <a:blip r:embed="rId13"/>
                    <a:stretch>
                      <a:fillRect/>
                    </a:stretch>
                  </pic:blipFill>
                  <pic:spPr>
                    <a:xfrm>
                      <a:off x="0" y="0"/>
                      <a:ext cx="3960000" cy="849600"/>
                    </a:xfrm>
                    <a:prstGeom prst="rect">
                      <a:avLst/>
                    </a:prstGeom>
                    <a:noFill/>
                    <a:ln>
                      <a:noFill/>
                    </a:ln>
                  </pic:spPr>
                </pic:pic>
              </a:graphicData>
            </a:graphic>
          </wp:inline>
        </w:drawing>
      </w:r>
    </w:p>
    <w:p>
      <w:pPr>
        <w:jc w:val="center"/>
        <w:rPr>
          <w:rFonts w:ascii="宋体" w:hAnsi="宋体" w:eastAsia="宋体" w:cs="宋体"/>
          <w:b/>
          <w:sz w:val="24"/>
          <w:szCs w:val="24"/>
        </w:rPr>
      </w:pPr>
      <w:r>
        <w:drawing>
          <wp:inline distT="0" distB="0" distL="114300" distR="114300">
            <wp:extent cx="3959860" cy="2033905"/>
            <wp:effectExtent l="0" t="0" r="2540" b="4445"/>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14"/>
                    <a:stretch>
                      <a:fillRect/>
                    </a:stretch>
                  </pic:blipFill>
                  <pic:spPr>
                    <a:xfrm>
                      <a:off x="0" y="0"/>
                      <a:ext cx="3960000" cy="2034000"/>
                    </a:xfrm>
                    <a:prstGeom prst="rect">
                      <a:avLst/>
                    </a:prstGeom>
                    <a:noFill/>
                    <a:ln>
                      <a:noFill/>
                    </a:ln>
                  </pic:spPr>
                </pic:pic>
              </a:graphicData>
            </a:graphic>
          </wp:inline>
        </w:drawing>
      </w:r>
    </w:p>
    <w:p>
      <w:pPr>
        <w:pStyle w:val="47"/>
        <w:numPr>
          <w:ilvl w:val="0"/>
          <w:numId w:val="3"/>
        </w:numPr>
        <w:spacing w:line="240" w:lineRule="auto"/>
        <w:ind w:left="0" w:leftChars="0" w:firstLine="481" w:firstLineChars="200"/>
        <w:rPr>
          <w:rFonts w:hint="eastAsia" w:ascii="宋体" w:hAnsi="宋体" w:eastAsia="宋体" w:cs="宋体"/>
          <w:sz w:val="24"/>
          <w:lang w:eastAsia="zh-CN"/>
        </w:rPr>
      </w:pPr>
      <w:r>
        <w:rPr>
          <w:rFonts w:hint="eastAsia" w:ascii="宋体" w:hAnsi="宋体" w:cs="宋体"/>
          <w:b/>
          <w:bCs/>
          <w:sz w:val="24"/>
          <w:lang w:val="en-US" w:eastAsia="zh-CN"/>
        </w:rPr>
        <w:t>答疑澄清文件</w:t>
      </w:r>
    </w:p>
    <w:p>
      <w:pPr>
        <w:pStyle w:val="47"/>
        <w:numPr>
          <w:ilvl w:val="0"/>
          <w:numId w:val="0"/>
        </w:numPr>
        <w:spacing w:line="240" w:lineRule="auto"/>
        <w:ind w:firstLine="480" w:firstLineChars="200"/>
        <w:rPr>
          <w:rFonts w:hint="eastAsia" w:ascii="宋体" w:hAnsi="宋体" w:eastAsia="宋体" w:cs="宋体"/>
          <w:sz w:val="24"/>
          <w:lang w:eastAsia="zh-CN"/>
        </w:rPr>
      </w:pPr>
      <w:r>
        <w:rPr>
          <w:rFonts w:hint="eastAsia" w:ascii="宋体" w:hAnsi="宋体" w:cs="宋体"/>
          <w:sz w:val="24"/>
        </w:rPr>
        <w:t>如</w:t>
      </w:r>
      <w:r>
        <w:rPr>
          <w:rFonts w:hint="eastAsia" w:ascii="宋体" w:hAnsi="宋体" w:cs="宋体"/>
          <w:sz w:val="24"/>
          <w:lang w:eastAsia="zh-CN"/>
        </w:rPr>
        <w:t>招标项目</w:t>
      </w:r>
      <w:r>
        <w:rPr>
          <w:rFonts w:hint="eastAsia" w:ascii="宋体" w:hAnsi="宋体" w:cs="宋体"/>
          <w:sz w:val="24"/>
        </w:rPr>
        <w:t>发布了答疑澄清文件，投标单位需要在”答疑澄清文件领取“菜单进行领取，导入投标文件制作软件进行制作，制作完成后上传到交易系统”上传投标文件“菜单（若未发布答疑澄清文件，无需操作这一步骤）</w:t>
      </w:r>
      <w:r>
        <w:rPr>
          <w:rFonts w:hint="eastAsia" w:ascii="宋体" w:hAnsi="宋体" w:cs="宋体"/>
          <w:sz w:val="24"/>
          <w:lang w:eastAsia="zh-CN"/>
        </w:rPr>
        <w:t>。</w:t>
      </w:r>
    </w:p>
    <w:p>
      <w:pPr>
        <w:pStyle w:val="47"/>
        <w:spacing w:line="240" w:lineRule="auto"/>
        <w:rPr>
          <w:rFonts w:ascii="宋体" w:hAnsi="宋体" w:cs="宋体"/>
          <w:sz w:val="24"/>
        </w:rPr>
      </w:pP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21" w:name="_Toc26497"/>
      <w:bookmarkStart w:id="22" w:name="_Toc1883608190"/>
      <w:bookmarkStart w:id="23" w:name="_Toc5004"/>
      <w:bookmarkStart w:id="24" w:name="_Toc20873"/>
      <w:bookmarkStart w:id="25" w:name="_Toc125985186"/>
      <w:r>
        <w:rPr>
          <w:rFonts w:hint="eastAsia" w:ascii="Times New Roman" w:hAnsi="Times New Roman" w:eastAsia="宋体" w:cs="Times New Roman"/>
          <w:b/>
          <w:bCs/>
          <w:color w:val="000000" w:themeColor="text1"/>
          <w:kern w:val="44"/>
          <w:sz w:val="32"/>
          <w:szCs w:val="28"/>
          <w14:textFill>
            <w14:solidFill>
              <w14:schemeClr w14:val="tx1"/>
            </w14:solidFill>
          </w14:textFill>
        </w:rPr>
        <w:t>缴纳投标保证</w:t>
      </w:r>
      <w:bookmarkEnd w:id="21"/>
      <w:bookmarkEnd w:id="22"/>
      <w:bookmarkEnd w:id="23"/>
      <w:bookmarkEnd w:id="24"/>
    </w:p>
    <w:p>
      <w:pPr>
        <w:numPr>
          <w:ilvl w:val="255"/>
          <w:numId w:val="0"/>
        </w:numPr>
        <w:outlineLvl w:val="1"/>
        <w:rPr>
          <w:rFonts w:ascii="宋体" w:hAnsi="宋体" w:eastAsia="宋体" w:cs="宋体"/>
          <w:b/>
          <w:bCs/>
          <w:kern w:val="44"/>
          <w:sz w:val="24"/>
          <w:szCs w:val="24"/>
        </w:rPr>
      </w:pPr>
      <w:bookmarkStart w:id="26" w:name="_Toc26529"/>
      <w:bookmarkStart w:id="27" w:name="_Toc24138"/>
      <w:bookmarkStart w:id="28" w:name="_Toc1673051553"/>
      <w:r>
        <w:rPr>
          <w:rFonts w:hint="eastAsia" w:ascii="宋体" w:hAnsi="宋体" w:eastAsia="宋体" w:cs="宋体"/>
          <w:b/>
          <w:bCs/>
          <w:kern w:val="44"/>
          <w:sz w:val="24"/>
          <w:szCs w:val="24"/>
        </w:rPr>
        <w:t>1、缴纳投标保证金</w:t>
      </w:r>
      <w:bookmarkEnd w:id="26"/>
      <w:bookmarkEnd w:id="27"/>
      <w:bookmarkEnd w:id="28"/>
    </w:p>
    <w:p>
      <w:pPr>
        <w:pStyle w:val="47"/>
        <w:spacing w:line="240" w:lineRule="auto"/>
        <w:ind w:firstLine="480" w:firstLineChars="200"/>
        <w:rPr>
          <w:rFonts w:ascii="宋体" w:hAnsi="宋体" w:cs="宋体"/>
          <w:sz w:val="24"/>
        </w:rPr>
      </w:pPr>
      <w:r>
        <w:rPr>
          <w:rFonts w:hint="eastAsia" w:ascii="宋体" w:hAnsi="宋体" w:cs="宋体"/>
          <w:sz w:val="24"/>
        </w:rPr>
        <w:t>投标人通过基本账户转账到招标文件要求的投标保证金收款账户，并将转账回执上传只投标文件文件中。</w:t>
      </w:r>
    </w:p>
    <w:p>
      <w:pPr>
        <w:numPr>
          <w:ilvl w:val="255"/>
          <w:numId w:val="0"/>
        </w:numPr>
        <w:outlineLvl w:val="1"/>
        <w:rPr>
          <w:rFonts w:ascii="宋体" w:hAnsi="宋体" w:eastAsia="宋体" w:cs="宋体"/>
          <w:b/>
          <w:bCs/>
          <w:kern w:val="44"/>
          <w:sz w:val="24"/>
          <w:szCs w:val="24"/>
        </w:rPr>
      </w:pPr>
      <w:bookmarkStart w:id="29" w:name="_Toc740277287"/>
      <w:bookmarkStart w:id="30" w:name="_Toc7122"/>
      <w:bookmarkStart w:id="31" w:name="_Toc30081"/>
      <w:r>
        <w:rPr>
          <w:rFonts w:hint="eastAsia" w:ascii="宋体" w:hAnsi="宋体" w:eastAsia="宋体" w:cs="宋体"/>
          <w:b/>
          <w:bCs/>
          <w:kern w:val="44"/>
          <w:sz w:val="24"/>
          <w:szCs w:val="24"/>
        </w:rPr>
        <w:t>2、申请电子保函</w:t>
      </w:r>
      <w:bookmarkEnd w:id="29"/>
      <w:bookmarkEnd w:id="30"/>
      <w:bookmarkEnd w:id="31"/>
    </w:p>
    <w:p>
      <w:pPr>
        <w:pStyle w:val="47"/>
        <w:spacing w:line="240" w:lineRule="auto"/>
        <w:rPr>
          <w:rFonts w:ascii="宋体" w:hAnsi="宋体" w:cs="宋体"/>
          <w:sz w:val="24"/>
        </w:rPr>
      </w:pPr>
      <w:r>
        <w:rPr>
          <w:rFonts w:hint="eastAsia" w:ascii="宋体" w:hAnsi="宋体" w:cs="宋体"/>
          <w:sz w:val="24"/>
        </w:rPr>
        <w:t>（1）电子保函平台登录入口</w:t>
      </w:r>
    </w:p>
    <w:p>
      <w:pPr>
        <w:pStyle w:val="47"/>
        <w:spacing w:line="240" w:lineRule="auto"/>
        <w:ind w:firstLine="480" w:firstLineChars="200"/>
        <w:rPr>
          <w:rFonts w:hint="eastAsia" w:ascii="宋体" w:hAnsi="宋体" w:cs="宋体"/>
          <w:sz w:val="24"/>
        </w:rPr>
      </w:pPr>
      <w:r>
        <w:rPr>
          <w:rFonts w:hint="eastAsia" w:ascii="宋体" w:hAnsi="宋体" w:cs="宋体"/>
          <w:sz w:val="24"/>
        </w:rPr>
        <w:t>方式一：打开进场交易信息网</w:t>
      </w:r>
      <w:r>
        <w:rPr>
          <w:rFonts w:hint="eastAsia" w:ascii="宋体" w:hAnsi="宋体" w:cs="宋体"/>
          <w:sz w:val="24"/>
        </w:rPr>
        <w:fldChar w:fldCharType="begin"/>
      </w:r>
      <w:r>
        <w:rPr>
          <w:rFonts w:hint="eastAsia" w:ascii="宋体" w:hAnsi="宋体" w:cs="宋体"/>
          <w:sz w:val="24"/>
        </w:rPr>
        <w:instrText xml:space="preserve"> HYPERLINK "http://www.hnsdzjy.com/" </w:instrText>
      </w:r>
      <w:r>
        <w:rPr>
          <w:rFonts w:hint="eastAsia" w:ascii="宋体" w:hAnsi="宋体" w:cs="宋体"/>
          <w:sz w:val="24"/>
        </w:rPr>
        <w:fldChar w:fldCharType="separate"/>
      </w:r>
      <w:r>
        <w:rPr>
          <w:rFonts w:hint="eastAsia" w:ascii="宋体" w:hAnsi="宋体" w:cs="宋体"/>
          <w:sz w:val="24"/>
        </w:rPr>
        <w:t>http://www.hnsdzjy.com/</w:t>
      </w:r>
      <w:r>
        <w:rPr>
          <w:rFonts w:hint="eastAsia" w:ascii="宋体" w:hAnsi="宋体" w:cs="宋体"/>
          <w:sz w:val="24"/>
        </w:rPr>
        <w:fldChar w:fldCharType="end"/>
      </w:r>
      <w:r>
        <w:rPr>
          <w:rFonts w:hint="eastAsia" w:ascii="宋体" w:hAnsi="宋体" w:cs="宋体"/>
          <w:sz w:val="24"/>
        </w:rPr>
        <w:t>，通过保证金创新服务支撑管理系统入口进入。</w:t>
      </w:r>
    </w:p>
    <w:p>
      <w:pPr>
        <w:pStyle w:val="47"/>
        <w:spacing w:line="240" w:lineRule="auto"/>
        <w:ind w:firstLine="480" w:firstLineChars="200"/>
        <w:rPr>
          <w:rFonts w:hint="eastAsia" w:ascii="宋体" w:hAnsi="宋体" w:cs="宋体"/>
          <w:sz w:val="24"/>
        </w:rPr>
      </w:pPr>
      <w:r>
        <w:rPr>
          <w:rFonts w:hint="eastAsia" w:ascii="宋体" w:hAnsi="宋体" w:cs="宋体"/>
          <w:sz w:val="24"/>
        </w:rPr>
        <w:t>方式二：登录交易系统http://www.hnsdzjy.com/tpbidder/memberframe/FrameAll，在招标文件领取菜单中选中对应项目后进入。</w:t>
      </w:r>
    </w:p>
    <w:p>
      <w:pPr>
        <w:rPr>
          <w:rFonts w:ascii="宋体" w:hAnsi="宋体" w:eastAsia="宋体" w:cs="宋体"/>
          <w:sz w:val="24"/>
          <w:szCs w:val="24"/>
        </w:rPr>
      </w:pPr>
    </w:p>
    <w:p>
      <w:pPr>
        <w:pStyle w:val="47"/>
        <w:spacing w:line="240" w:lineRule="auto"/>
        <w:rPr>
          <w:rFonts w:ascii="宋体" w:hAnsi="宋体" w:cs="宋体"/>
          <w:sz w:val="24"/>
        </w:rPr>
      </w:pPr>
      <w:r>
        <w:rPr>
          <w:rFonts w:hint="eastAsia" w:ascii="宋体" w:hAnsi="宋体" w:cs="宋体"/>
          <w:sz w:val="24"/>
        </w:rPr>
        <w:t>（2）办理流程</w:t>
      </w:r>
    </w:p>
    <w:p>
      <w:pPr>
        <w:pStyle w:val="47"/>
        <w:spacing w:line="240" w:lineRule="auto"/>
        <w:ind w:firstLine="480" w:firstLineChars="200"/>
        <w:rPr>
          <w:rFonts w:ascii="宋体" w:hAnsi="宋体" w:cs="宋体"/>
          <w:sz w:val="24"/>
        </w:rPr>
      </w:pPr>
      <w:r>
        <w:rPr>
          <w:rFonts w:hint="eastAsia" w:ascii="宋体" w:hAnsi="宋体" w:cs="宋体"/>
          <w:sz w:val="24"/>
        </w:rPr>
        <w:t>第一步：完善企业信息</w:t>
      </w:r>
    </w:p>
    <w:p>
      <w:pPr>
        <w:pStyle w:val="47"/>
        <w:spacing w:line="240" w:lineRule="auto"/>
        <w:ind w:firstLine="480" w:firstLineChars="200"/>
        <w:rPr>
          <w:rFonts w:ascii="宋体" w:hAnsi="宋体" w:cs="宋体"/>
          <w:sz w:val="24"/>
        </w:rPr>
      </w:pPr>
      <w:bookmarkStart w:id="32" w:name="_Toc10996"/>
      <w:bookmarkStart w:id="33" w:name="_Toc4495"/>
      <w:r>
        <w:rPr>
          <w:rFonts w:hint="eastAsia" w:ascii="宋体" w:hAnsi="宋体" w:cs="宋体"/>
          <w:sz w:val="24"/>
        </w:rPr>
        <w:t>第二步：发起买保申请（选择所需的保函类型）</w:t>
      </w:r>
      <w:bookmarkEnd w:id="32"/>
      <w:bookmarkEnd w:id="33"/>
    </w:p>
    <w:p>
      <w:pPr>
        <w:pStyle w:val="47"/>
        <w:spacing w:line="240" w:lineRule="auto"/>
        <w:ind w:firstLine="480" w:firstLineChars="200"/>
        <w:rPr>
          <w:rFonts w:ascii="宋体" w:hAnsi="宋体" w:cs="宋体"/>
          <w:sz w:val="24"/>
        </w:rPr>
      </w:pPr>
      <w:r>
        <w:rPr>
          <w:rFonts w:hint="eastAsia" w:ascii="宋体" w:hAnsi="宋体" w:cs="宋体"/>
          <w:sz w:val="24"/>
        </w:rPr>
        <w:t>保函平台展示当前时间所有未开标的标段，投标人选择相应的标段申请，系统自动检测投标人是否已报名该标段，如果未报名，则标段显示为“立即申请”。</w:t>
      </w:r>
    </w:p>
    <w:p>
      <w:pPr>
        <w:pStyle w:val="47"/>
        <w:spacing w:line="240" w:lineRule="auto"/>
        <w:ind w:firstLine="480" w:firstLineChars="200"/>
        <w:rPr>
          <w:rFonts w:ascii="宋体" w:hAnsi="宋体" w:cs="宋体"/>
          <w:sz w:val="24"/>
        </w:rPr>
      </w:pPr>
      <w:r>
        <w:rPr>
          <w:rFonts w:hint="eastAsia" w:ascii="宋体" w:hAnsi="宋体" w:cs="宋体"/>
          <w:sz w:val="24"/>
        </w:rPr>
        <w:t>第三步：添加经办人信息</w:t>
      </w:r>
    </w:p>
    <w:p>
      <w:pPr>
        <w:pStyle w:val="47"/>
        <w:spacing w:line="240" w:lineRule="auto"/>
        <w:ind w:firstLine="480" w:firstLineChars="200"/>
        <w:rPr>
          <w:rFonts w:ascii="宋体" w:hAnsi="宋体" w:cs="宋体"/>
          <w:sz w:val="24"/>
        </w:rPr>
      </w:pPr>
      <w:r>
        <w:rPr>
          <w:rFonts w:hint="eastAsia" w:ascii="宋体" w:hAnsi="宋体" w:cs="宋体"/>
          <w:sz w:val="24"/>
        </w:rPr>
        <w:t>填写经办人信息，获取验证码。（对于经办人信息有记忆功能，下次填写时会记录本次的所填信息，点击选择即可。）后续流程跳转到之前选择的金融机构系统中，考虑到各家金融机构的业务流程都不一样，具体请参考每家金融机构的申请流程进行申请操作。</w:t>
      </w:r>
    </w:p>
    <w:p>
      <w:pPr>
        <w:pStyle w:val="47"/>
        <w:spacing w:line="240" w:lineRule="auto"/>
        <w:ind w:firstLine="480" w:firstLineChars="200"/>
        <w:rPr>
          <w:rFonts w:ascii="宋体" w:hAnsi="宋体" w:cs="宋体"/>
          <w:sz w:val="24"/>
        </w:rPr>
      </w:pPr>
      <w:r>
        <w:rPr>
          <w:rFonts w:hint="eastAsia" w:ascii="宋体" w:hAnsi="宋体" w:cs="宋体"/>
          <w:sz w:val="24"/>
        </w:rPr>
        <w:t>第四步：保函文件预览下载</w:t>
      </w:r>
    </w:p>
    <w:p>
      <w:pPr>
        <w:pStyle w:val="47"/>
        <w:spacing w:line="240" w:lineRule="auto"/>
        <w:ind w:firstLine="480" w:firstLineChars="200"/>
        <w:rPr>
          <w:rFonts w:ascii="宋体" w:hAnsi="宋体" w:cs="宋体"/>
          <w:sz w:val="24"/>
        </w:rPr>
      </w:pPr>
      <w:r>
        <w:rPr>
          <w:rFonts w:hint="eastAsia" w:ascii="宋体" w:hAnsi="宋体" w:cs="宋体"/>
          <w:sz w:val="24"/>
        </w:rPr>
        <w:t>支付完成后，电子保函自动生成并推送置交易平台，投标人也可以下载保函。</w:t>
      </w:r>
    </w:p>
    <w:p>
      <w:pPr>
        <w:pStyle w:val="47"/>
        <w:spacing w:line="240" w:lineRule="auto"/>
        <w:ind w:firstLine="480" w:firstLineChars="200"/>
        <w:rPr>
          <w:rFonts w:ascii="宋体" w:hAnsi="宋体" w:cs="宋体"/>
          <w:sz w:val="24"/>
        </w:rPr>
      </w:pPr>
    </w:p>
    <w:p>
      <w:pPr>
        <w:pStyle w:val="47"/>
        <w:spacing w:line="240" w:lineRule="auto"/>
        <w:ind w:firstLine="480" w:firstLineChars="200"/>
        <w:rPr>
          <w:rFonts w:ascii="宋体" w:hAnsi="宋体" w:cs="宋体"/>
          <w:sz w:val="24"/>
        </w:rPr>
      </w:pPr>
      <w:r>
        <w:rPr>
          <w:rFonts w:hint="eastAsia" w:ascii="宋体" w:hAnsi="宋体" w:cs="宋体"/>
          <w:sz w:val="24"/>
        </w:rPr>
        <w:t>放弃申请：如果需要放弃此次保函申请，则需选择所需放弃标段，点击申请中，进入此次申请流程点击右上方的放弃申请即可（如下所示）。（注意：付款成功后不可放弃申请）</w:t>
      </w:r>
    </w:p>
    <w:p>
      <w:pPr>
        <w:pStyle w:val="47"/>
        <w:spacing w:line="240" w:lineRule="auto"/>
        <w:ind w:firstLine="480" w:firstLineChars="200"/>
        <w:rPr>
          <w:rFonts w:ascii="宋体" w:hAnsi="宋体" w:cs="宋体"/>
          <w:sz w:val="24"/>
        </w:rPr>
      </w:pPr>
      <w:r>
        <w:rPr>
          <w:rFonts w:hint="eastAsia" w:ascii="宋体" w:hAnsi="宋体" w:cs="宋体"/>
          <w:sz w:val="24"/>
        </w:rPr>
        <w:t>保函状态查询：如果需要查看电子保函的状态，可以在用户中心-我的订单-我的投标保函里查看相关订单的状态。</w:t>
      </w:r>
    </w:p>
    <w:p>
      <w:pPr>
        <w:rPr>
          <w:rFonts w:ascii="宋体" w:hAnsi="宋体" w:eastAsia="宋体" w:cs="宋体"/>
          <w:sz w:val="24"/>
          <w:szCs w:val="24"/>
        </w:rPr>
      </w:pP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34" w:name="_Toc472"/>
      <w:bookmarkStart w:id="35" w:name="_Toc1228958194"/>
      <w:bookmarkStart w:id="36" w:name="_Toc12179"/>
      <w:bookmarkStart w:id="37" w:name="_Toc25729"/>
      <w:bookmarkStart w:id="38" w:name="_Toc26713"/>
      <w:r>
        <w:rPr>
          <w:rFonts w:hint="eastAsia" w:ascii="Times New Roman" w:hAnsi="Times New Roman" w:eastAsia="宋体" w:cs="Times New Roman"/>
          <w:b/>
          <w:bCs/>
          <w:color w:val="000000" w:themeColor="text1"/>
          <w:kern w:val="44"/>
          <w:sz w:val="32"/>
          <w:szCs w:val="28"/>
          <w14:textFill>
            <w14:solidFill>
              <w14:schemeClr w14:val="tx1"/>
            </w14:solidFill>
          </w14:textFill>
        </w:rPr>
        <w:t>投标文件制作</w:t>
      </w:r>
      <w:bookmarkEnd w:id="34"/>
      <w:bookmarkEnd w:id="35"/>
    </w:p>
    <w:p>
      <w:pPr>
        <w:pStyle w:val="47"/>
        <w:spacing w:line="240" w:lineRule="auto"/>
        <w:rPr>
          <w:rFonts w:ascii="宋体" w:hAnsi="宋体" w:cs="宋体"/>
          <w:sz w:val="24"/>
        </w:rPr>
      </w:pPr>
      <w:bookmarkStart w:id="39" w:name="_Toc17041"/>
      <w:r>
        <w:rPr>
          <w:rFonts w:hint="eastAsia" w:ascii="宋体" w:hAnsi="宋体" w:cs="宋体"/>
          <w:sz w:val="24"/>
        </w:rPr>
        <w:t>1、下载安装投标文件制作软件</w:t>
      </w:r>
      <w:bookmarkEnd w:id="39"/>
    </w:p>
    <w:p>
      <w:pPr>
        <w:pStyle w:val="47"/>
        <w:spacing w:line="240" w:lineRule="auto"/>
        <w:ind w:firstLine="480" w:firstLineChars="200"/>
        <w:rPr>
          <w:rFonts w:ascii="宋体" w:hAnsi="宋体" w:cs="宋体"/>
          <w:sz w:val="24"/>
        </w:rPr>
      </w:pPr>
      <w:r>
        <w:rPr>
          <w:rFonts w:hint="eastAsia" w:ascii="宋体" w:hAnsi="宋体" w:cs="宋体"/>
          <w:sz w:val="24"/>
        </w:rPr>
        <w:t>登录湖南省公共资源交易中心网址，从下载中心栏下载投标文件制作工具制作投标文件</w:t>
      </w:r>
    </w:p>
    <w:p>
      <w:pPr>
        <w:rPr>
          <w:sz w:val="28"/>
          <w:szCs w:val="28"/>
        </w:rPr>
      </w:pPr>
    </w:p>
    <w:p>
      <w:pPr>
        <w:jc w:val="center"/>
        <w:rPr>
          <w:sz w:val="28"/>
          <w:szCs w:val="28"/>
        </w:rPr>
      </w:pPr>
      <w:r>
        <w:rPr>
          <w:sz w:val="28"/>
          <w:szCs w:val="28"/>
        </w:rPr>
        <w:drawing>
          <wp:inline distT="0" distB="0" distL="0" distR="0">
            <wp:extent cx="808990" cy="1046480"/>
            <wp:effectExtent l="0" t="0" r="10160" b="127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5"/>
                    <a:stretch>
                      <a:fillRect/>
                    </a:stretch>
                  </pic:blipFill>
                  <pic:spPr>
                    <a:xfrm>
                      <a:off x="0" y="0"/>
                      <a:ext cx="809244" cy="1046988"/>
                    </a:xfrm>
                    <a:prstGeom prst="rect">
                      <a:avLst/>
                    </a:prstGeom>
                  </pic:spPr>
                </pic:pic>
              </a:graphicData>
            </a:graphic>
          </wp:inline>
        </w:drawing>
      </w:r>
    </w:p>
    <w:p>
      <w:pPr>
        <w:pStyle w:val="47"/>
        <w:spacing w:line="240" w:lineRule="auto"/>
        <w:ind w:firstLine="480" w:firstLineChars="200"/>
        <w:rPr>
          <w:rFonts w:ascii="宋体" w:hAnsi="宋体" w:cs="宋体"/>
          <w:sz w:val="24"/>
        </w:rPr>
      </w:pPr>
      <w:r>
        <w:rPr>
          <w:rFonts w:ascii="宋体" w:hAnsi="宋体" w:cs="宋体"/>
          <w:sz w:val="24"/>
        </w:rPr>
        <w:t>运行软件，点击新建工程，点击浏览按钮，选择相应的招标文件。</w:t>
      </w:r>
    </w:p>
    <w:p>
      <w:pPr>
        <w:ind w:firstLine="14"/>
        <w:jc w:val="center"/>
        <w:textAlignment w:val="center"/>
        <w:rPr>
          <w:sz w:val="28"/>
          <w:szCs w:val="28"/>
        </w:rPr>
      </w:pPr>
      <w:r>
        <w:rPr>
          <w:sz w:val="28"/>
          <w:szCs w:val="28"/>
        </w:rPr>
        <w:drawing>
          <wp:inline distT="0" distB="0" distL="0" distR="0">
            <wp:extent cx="3959860" cy="2098675"/>
            <wp:effectExtent l="0" t="0" r="2540" b="0"/>
            <wp:docPr id="4" name="IM 34"/>
            <wp:cNvGraphicFramePr/>
            <a:graphic xmlns:a="http://schemas.openxmlformats.org/drawingml/2006/main">
              <a:graphicData uri="http://schemas.openxmlformats.org/drawingml/2006/picture">
                <pic:pic xmlns:pic="http://schemas.openxmlformats.org/drawingml/2006/picture">
                  <pic:nvPicPr>
                    <pic:cNvPr id="4" name="IM 34"/>
                    <pic:cNvPicPr/>
                  </pic:nvPicPr>
                  <pic:blipFill>
                    <a:blip r:embed="rId16"/>
                    <a:stretch>
                      <a:fillRect/>
                    </a:stretch>
                  </pic:blipFill>
                  <pic:spPr>
                    <a:xfrm>
                      <a:off x="0" y="0"/>
                      <a:ext cx="3960000" cy="2098800"/>
                    </a:xfrm>
                    <a:prstGeom prst="rect">
                      <a:avLst/>
                    </a:prstGeom>
                  </pic:spPr>
                </pic:pic>
              </a:graphicData>
            </a:graphic>
          </wp:inline>
        </w:drawing>
      </w:r>
    </w:p>
    <w:p>
      <w:pPr>
        <w:pStyle w:val="47"/>
        <w:spacing w:line="240" w:lineRule="auto"/>
        <w:rPr>
          <w:rFonts w:ascii="宋体" w:hAnsi="宋体" w:cs="宋体"/>
          <w:sz w:val="24"/>
        </w:rPr>
      </w:pPr>
      <w:bookmarkStart w:id="40" w:name="_Toc28251"/>
      <w:r>
        <w:rPr>
          <w:rFonts w:hint="eastAsia" w:ascii="宋体" w:hAnsi="宋体" w:cs="宋体"/>
          <w:sz w:val="24"/>
        </w:rPr>
        <w:t>2、完善投标文件相关信息内容。</w:t>
      </w:r>
      <w:bookmarkEnd w:id="40"/>
    </w:p>
    <w:p>
      <w:pPr>
        <w:pStyle w:val="47"/>
        <w:spacing w:line="240" w:lineRule="auto"/>
        <w:ind w:firstLine="480" w:firstLineChars="200"/>
        <w:rPr>
          <w:rFonts w:ascii="宋体" w:hAnsi="宋体" w:cs="宋体"/>
          <w:sz w:val="24"/>
        </w:rPr>
      </w:pPr>
      <w:r>
        <w:rPr>
          <w:rFonts w:ascii="宋体" w:hAnsi="宋体" w:cs="宋体"/>
          <w:sz w:val="24"/>
        </w:rPr>
        <w:t>点击左侧菜单栏，完善投标文件的相关信息</w:t>
      </w:r>
      <w:r>
        <w:rPr>
          <w:rFonts w:hint="eastAsia" w:ascii="宋体" w:hAnsi="宋体" w:cs="宋体"/>
          <w:sz w:val="24"/>
        </w:rPr>
        <w:t>，按章节根据招标文件要求上传投标资料。</w:t>
      </w:r>
    </w:p>
    <w:p>
      <w:pPr>
        <w:ind w:firstLine="14"/>
        <w:jc w:val="center"/>
        <w:textAlignment w:val="center"/>
        <w:rPr>
          <w:sz w:val="28"/>
          <w:szCs w:val="28"/>
        </w:rPr>
      </w:pPr>
      <w:r>
        <w:rPr>
          <w:sz w:val="28"/>
          <w:szCs w:val="28"/>
        </w:rPr>
        <w:drawing>
          <wp:inline distT="0" distB="0" distL="0" distR="0">
            <wp:extent cx="3959860" cy="2336165"/>
            <wp:effectExtent l="0" t="0" r="2540" b="6985"/>
            <wp:docPr id="35" name="IM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IM 35"/>
                    <pic:cNvPicPr>
                      <a:picLocks noChangeAspect="true"/>
                    </pic:cNvPicPr>
                  </pic:nvPicPr>
                  <pic:blipFill>
                    <a:blip r:embed="rId17">
                      <a:extLst>
                        <a:ext uri="{28A0092B-C50C-407E-A947-70E740481C1C}">
                          <a14:useLocalDpi xmlns:a14="http://schemas.microsoft.com/office/drawing/2010/main" val="false"/>
                        </a:ext>
                      </a:extLst>
                    </a:blip>
                    <a:stretch>
                      <a:fillRect/>
                    </a:stretch>
                  </pic:blipFill>
                  <pic:spPr>
                    <a:xfrm>
                      <a:off x="0" y="0"/>
                      <a:ext cx="3959860" cy="2336165"/>
                    </a:xfrm>
                    <a:prstGeom prst="rect">
                      <a:avLst/>
                    </a:prstGeom>
                  </pic:spPr>
                </pic:pic>
              </a:graphicData>
            </a:graphic>
          </wp:inline>
        </w:drawing>
      </w:r>
    </w:p>
    <w:p>
      <w:pPr>
        <w:pStyle w:val="47"/>
        <w:spacing w:line="240" w:lineRule="auto"/>
        <w:rPr>
          <w:rFonts w:ascii="宋体" w:hAnsi="宋体" w:cs="宋体"/>
          <w:sz w:val="24"/>
        </w:rPr>
      </w:pPr>
      <w:bookmarkStart w:id="41" w:name="_Toc3595"/>
      <w:r>
        <w:rPr>
          <w:rFonts w:hint="eastAsia" w:ascii="宋体" w:hAnsi="宋体" w:cs="宋体"/>
          <w:sz w:val="24"/>
        </w:rPr>
        <w:t>3、生成投标文件</w:t>
      </w:r>
      <w:bookmarkEnd w:id="41"/>
    </w:p>
    <w:p>
      <w:pPr>
        <w:pStyle w:val="47"/>
        <w:spacing w:line="240" w:lineRule="auto"/>
        <w:ind w:firstLine="480" w:firstLineChars="200"/>
        <w:rPr>
          <w:rFonts w:ascii="宋体" w:hAnsi="宋体" w:cs="宋体"/>
          <w:sz w:val="24"/>
        </w:rPr>
      </w:pPr>
      <w:bookmarkStart w:id="42" w:name="_Toc16132"/>
      <w:r>
        <w:rPr>
          <w:rFonts w:hint="eastAsia" w:ascii="宋体" w:hAnsi="宋体" w:cs="宋体"/>
          <w:sz w:val="24"/>
        </w:rPr>
        <w:t>（1）批量转换</w:t>
      </w:r>
      <w:bookmarkEnd w:id="42"/>
    </w:p>
    <w:p>
      <w:pPr>
        <w:pStyle w:val="47"/>
        <w:spacing w:line="240" w:lineRule="auto"/>
        <w:ind w:firstLine="480" w:firstLineChars="200"/>
        <w:rPr>
          <w:rFonts w:ascii="宋体" w:hAnsi="宋体" w:cs="宋体"/>
          <w:sz w:val="24"/>
        </w:rPr>
      </w:pPr>
      <w:r>
        <w:rPr>
          <w:rFonts w:ascii="宋体" w:hAnsi="宋体" w:cs="宋体"/>
          <w:sz w:val="24"/>
        </w:rPr>
        <w:t>点击1批量转换，转换所有文件</w:t>
      </w:r>
    </w:p>
    <w:p>
      <w:pPr>
        <w:ind w:firstLine="14"/>
        <w:jc w:val="center"/>
        <w:textAlignment w:val="center"/>
        <w:rPr>
          <w:sz w:val="28"/>
          <w:szCs w:val="28"/>
        </w:rPr>
      </w:pPr>
      <w:r>
        <w:rPr>
          <w:sz w:val="28"/>
          <w:szCs w:val="28"/>
        </w:rPr>
        <w:drawing>
          <wp:inline distT="0" distB="0" distL="0" distR="0">
            <wp:extent cx="3959860" cy="1986915"/>
            <wp:effectExtent l="0" t="0" r="2540" b="0"/>
            <wp:docPr id="36" name="IM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IM 36"/>
                    <pic:cNvPicPr>
                      <a:picLocks noChangeAspect="true"/>
                    </pic:cNvPicPr>
                  </pic:nvPicPr>
                  <pic:blipFill>
                    <a:blip r:embed="rId18"/>
                    <a:stretch>
                      <a:fillRect/>
                    </a:stretch>
                  </pic:blipFill>
                  <pic:spPr>
                    <a:xfrm>
                      <a:off x="0" y="0"/>
                      <a:ext cx="3960000" cy="1987200"/>
                    </a:xfrm>
                    <a:prstGeom prst="rect">
                      <a:avLst/>
                    </a:prstGeom>
                  </pic:spPr>
                </pic:pic>
              </a:graphicData>
            </a:graphic>
          </wp:inline>
        </w:drawing>
      </w:r>
    </w:p>
    <w:p>
      <w:pPr>
        <w:pStyle w:val="47"/>
        <w:spacing w:line="240" w:lineRule="auto"/>
        <w:ind w:firstLine="480" w:firstLineChars="200"/>
        <w:rPr>
          <w:rFonts w:ascii="宋体" w:hAnsi="宋体" w:cs="宋体"/>
          <w:sz w:val="24"/>
        </w:rPr>
      </w:pPr>
      <w:r>
        <w:rPr>
          <w:rFonts w:ascii="宋体" w:hAnsi="宋体" w:cs="宋体"/>
          <w:sz w:val="24"/>
        </w:rPr>
        <w:t>待显示转换成功，可进行下一步标书签章</w:t>
      </w:r>
    </w:p>
    <w:p>
      <w:pPr>
        <w:ind w:firstLine="14"/>
        <w:jc w:val="center"/>
        <w:textAlignment w:val="center"/>
        <w:rPr>
          <w:sz w:val="28"/>
          <w:szCs w:val="28"/>
        </w:rPr>
      </w:pPr>
      <w:r>
        <w:rPr>
          <w:sz w:val="28"/>
          <w:szCs w:val="28"/>
        </w:rPr>
        <w:drawing>
          <wp:inline distT="0" distB="0" distL="0" distR="0">
            <wp:extent cx="3959860" cy="1932940"/>
            <wp:effectExtent l="0" t="0" r="2540" b="0"/>
            <wp:docPr id="37" name="IM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 37"/>
                    <pic:cNvPicPr>
                      <a:picLocks noChangeAspect="true"/>
                    </pic:cNvPicPr>
                  </pic:nvPicPr>
                  <pic:blipFill>
                    <a:blip r:embed="rId19"/>
                    <a:stretch>
                      <a:fillRect/>
                    </a:stretch>
                  </pic:blipFill>
                  <pic:spPr>
                    <a:xfrm>
                      <a:off x="0" y="0"/>
                      <a:ext cx="3960000" cy="1933200"/>
                    </a:xfrm>
                    <a:prstGeom prst="rect">
                      <a:avLst/>
                    </a:prstGeom>
                  </pic:spPr>
                </pic:pic>
              </a:graphicData>
            </a:graphic>
          </wp:inline>
        </w:drawing>
      </w:r>
    </w:p>
    <w:p>
      <w:pPr>
        <w:pStyle w:val="47"/>
        <w:spacing w:line="240" w:lineRule="auto"/>
        <w:ind w:firstLine="480" w:firstLineChars="200"/>
        <w:rPr>
          <w:rFonts w:ascii="宋体" w:hAnsi="宋体" w:cs="宋体"/>
          <w:sz w:val="24"/>
        </w:rPr>
      </w:pPr>
      <w:bookmarkStart w:id="43" w:name="_Toc20586"/>
      <w:r>
        <w:rPr>
          <w:rFonts w:hint="eastAsia" w:ascii="宋体" w:hAnsi="宋体" w:cs="宋体"/>
          <w:sz w:val="24"/>
        </w:rPr>
        <w:t>（2）标书签章</w:t>
      </w:r>
      <w:bookmarkEnd w:id="43"/>
    </w:p>
    <w:p>
      <w:pPr>
        <w:pStyle w:val="47"/>
        <w:spacing w:line="240" w:lineRule="auto"/>
        <w:ind w:firstLine="480" w:firstLineChars="200"/>
        <w:rPr>
          <w:rFonts w:ascii="宋体" w:hAnsi="宋体" w:cs="宋体"/>
          <w:sz w:val="24"/>
        </w:rPr>
      </w:pPr>
      <w:r>
        <w:rPr>
          <w:rFonts w:ascii="宋体" w:hAnsi="宋体" w:cs="宋体"/>
          <w:sz w:val="24"/>
        </w:rPr>
        <w:t>点击2标书签章，进入签章页面</w:t>
      </w:r>
      <w:r>
        <w:rPr>
          <w:rFonts w:hint="eastAsia" w:ascii="宋体" w:hAnsi="宋体" w:cs="宋体"/>
          <w:sz w:val="24"/>
        </w:rPr>
        <w:t>，运用数字证书对电子投标文件进行加密，并将加密后的电子投标文件上传至交易平台</w:t>
      </w:r>
    </w:p>
    <w:p>
      <w:pPr>
        <w:pStyle w:val="47"/>
        <w:spacing w:line="240" w:lineRule="auto"/>
        <w:ind w:firstLine="480" w:firstLineChars="200"/>
        <w:rPr>
          <w:rFonts w:ascii="宋体" w:hAnsi="宋体" w:cs="宋体"/>
          <w:sz w:val="24"/>
        </w:rPr>
      </w:pPr>
      <w:r>
        <w:rPr>
          <w:rFonts w:hint="eastAsia" w:ascii="宋体" w:hAnsi="宋体" w:cs="宋体"/>
          <w:sz w:val="24"/>
        </w:rPr>
        <w:t>注：未加密的电子投标文件将无法上传至交易平台</w:t>
      </w:r>
    </w:p>
    <w:p>
      <w:pPr>
        <w:ind w:firstLine="11"/>
        <w:jc w:val="center"/>
        <w:textAlignment w:val="center"/>
        <w:rPr>
          <w:sz w:val="28"/>
          <w:szCs w:val="28"/>
        </w:rPr>
      </w:pPr>
      <w:r>
        <w:rPr>
          <w:sz w:val="28"/>
          <w:szCs w:val="28"/>
        </w:rPr>
        <w:drawing>
          <wp:inline distT="0" distB="0" distL="0" distR="0">
            <wp:extent cx="3959860" cy="1882775"/>
            <wp:effectExtent l="0" t="0" r="2540" b="3175"/>
            <wp:docPr id="38" name="IM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IM 38"/>
                    <pic:cNvPicPr>
                      <a:picLocks noChangeAspect="true"/>
                    </pic:cNvPicPr>
                  </pic:nvPicPr>
                  <pic:blipFill>
                    <a:blip r:embed="rId20"/>
                    <a:stretch>
                      <a:fillRect/>
                    </a:stretch>
                  </pic:blipFill>
                  <pic:spPr>
                    <a:xfrm>
                      <a:off x="0" y="0"/>
                      <a:ext cx="3960000" cy="1882800"/>
                    </a:xfrm>
                    <a:prstGeom prst="rect">
                      <a:avLst/>
                    </a:prstGeom>
                  </pic:spPr>
                </pic:pic>
              </a:graphicData>
            </a:graphic>
          </wp:inline>
        </w:drawing>
      </w:r>
    </w:p>
    <w:p>
      <w:pPr>
        <w:pStyle w:val="47"/>
        <w:spacing w:line="240" w:lineRule="auto"/>
        <w:ind w:firstLine="480" w:firstLineChars="200"/>
        <w:rPr>
          <w:rFonts w:ascii="宋体" w:hAnsi="宋体" w:cs="宋体"/>
          <w:sz w:val="24"/>
        </w:rPr>
      </w:pPr>
      <w:r>
        <w:rPr>
          <w:rFonts w:ascii="宋体" w:hAnsi="宋体" w:cs="宋体"/>
          <w:sz w:val="24"/>
        </w:rPr>
        <w:t>插入签章锁，点击签章图标，输入密码，并在合适的位置，单击进行签章。签完，点击下一章，进行后续章节的签章流程。</w:t>
      </w:r>
    </w:p>
    <w:p>
      <w:pPr>
        <w:ind w:firstLine="14"/>
        <w:jc w:val="center"/>
        <w:textAlignment w:val="center"/>
        <w:rPr>
          <w:sz w:val="28"/>
          <w:szCs w:val="28"/>
        </w:rPr>
      </w:pPr>
      <w:r>
        <w:rPr>
          <w:sz w:val="28"/>
          <w:szCs w:val="28"/>
        </w:rPr>
        <w:drawing>
          <wp:inline distT="0" distB="0" distL="0" distR="0">
            <wp:extent cx="3959860" cy="2807970"/>
            <wp:effectExtent l="0" t="0" r="2540" b="0"/>
            <wp:docPr id="39" name="IM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IM 39"/>
                    <pic:cNvPicPr>
                      <a:picLocks noChangeAspect="true"/>
                    </pic:cNvPicPr>
                  </pic:nvPicPr>
                  <pic:blipFill>
                    <a:blip r:embed="rId21"/>
                    <a:stretch>
                      <a:fillRect/>
                    </a:stretch>
                  </pic:blipFill>
                  <pic:spPr>
                    <a:xfrm>
                      <a:off x="0" y="0"/>
                      <a:ext cx="3960000" cy="2808000"/>
                    </a:xfrm>
                    <a:prstGeom prst="rect">
                      <a:avLst/>
                    </a:prstGeom>
                  </pic:spPr>
                </pic:pic>
              </a:graphicData>
            </a:graphic>
          </wp:inline>
        </w:drawing>
      </w:r>
    </w:p>
    <w:p>
      <w:pPr>
        <w:pStyle w:val="47"/>
        <w:spacing w:line="240" w:lineRule="auto"/>
        <w:ind w:firstLine="480" w:firstLineChars="200"/>
        <w:rPr>
          <w:rFonts w:ascii="宋体" w:hAnsi="宋体" w:cs="宋体"/>
          <w:sz w:val="24"/>
        </w:rPr>
      </w:pPr>
      <w:r>
        <w:rPr>
          <w:rFonts w:ascii="宋体" w:hAnsi="宋体" w:cs="宋体"/>
          <w:sz w:val="24"/>
        </w:rPr>
        <w:t>请在指定位置签下对应的签章(例如：单位章签在需签单位章的位置，法人章签在需签单位章的位置。)</w:t>
      </w:r>
    </w:p>
    <w:p>
      <w:pPr>
        <w:ind w:firstLine="14"/>
        <w:jc w:val="center"/>
        <w:textAlignment w:val="center"/>
        <w:rPr>
          <w:sz w:val="28"/>
          <w:szCs w:val="28"/>
        </w:rPr>
      </w:pPr>
      <w:r>
        <w:rPr>
          <w:sz w:val="28"/>
          <w:szCs w:val="28"/>
        </w:rPr>
        <w:drawing>
          <wp:inline distT="0" distB="0" distL="0" distR="0">
            <wp:extent cx="3959860" cy="2656205"/>
            <wp:effectExtent l="0" t="0" r="2540" b="0"/>
            <wp:docPr id="40" name="IM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IM 40"/>
                    <pic:cNvPicPr>
                      <a:picLocks noChangeAspect="true"/>
                    </pic:cNvPicPr>
                  </pic:nvPicPr>
                  <pic:blipFill>
                    <a:blip r:embed="rId22"/>
                    <a:stretch>
                      <a:fillRect/>
                    </a:stretch>
                  </pic:blipFill>
                  <pic:spPr>
                    <a:xfrm>
                      <a:off x="0" y="0"/>
                      <a:ext cx="3960000" cy="2656800"/>
                    </a:xfrm>
                    <a:prstGeom prst="rect">
                      <a:avLst/>
                    </a:prstGeom>
                  </pic:spPr>
                </pic:pic>
              </a:graphicData>
            </a:graphic>
          </wp:inline>
        </w:drawing>
      </w:r>
    </w:p>
    <w:p>
      <w:pPr>
        <w:pStyle w:val="47"/>
        <w:spacing w:line="240" w:lineRule="auto"/>
        <w:ind w:firstLine="480" w:firstLineChars="200"/>
        <w:rPr>
          <w:rFonts w:ascii="宋体" w:hAnsi="宋体" w:cs="宋体"/>
          <w:sz w:val="24"/>
        </w:rPr>
      </w:pPr>
      <w:r>
        <w:rPr>
          <w:rFonts w:ascii="宋体" w:hAnsi="宋体" w:cs="宋体"/>
          <w:sz w:val="24"/>
        </w:rPr>
        <w:t>待签章完毕，进行下一步预览标书</w:t>
      </w:r>
    </w:p>
    <w:p>
      <w:pPr>
        <w:pStyle w:val="47"/>
        <w:spacing w:line="240" w:lineRule="auto"/>
        <w:ind w:firstLine="480" w:firstLineChars="200"/>
        <w:rPr>
          <w:rFonts w:ascii="宋体" w:hAnsi="宋体" w:cs="宋体"/>
          <w:sz w:val="24"/>
        </w:rPr>
      </w:pPr>
      <w:r>
        <w:rPr>
          <w:rFonts w:hint="eastAsia" w:ascii="宋体" w:hAnsi="宋体" w:cs="宋体"/>
          <w:sz w:val="24"/>
        </w:rPr>
        <w:t>注：未按要求制作的电子投标文件，影响投标文件的上传</w:t>
      </w:r>
    </w:p>
    <w:p>
      <w:pPr>
        <w:pStyle w:val="47"/>
        <w:spacing w:line="240" w:lineRule="auto"/>
        <w:ind w:firstLine="480" w:firstLineChars="200"/>
        <w:rPr>
          <w:rFonts w:ascii="宋体" w:hAnsi="宋体" w:cs="宋体"/>
          <w:sz w:val="24"/>
        </w:rPr>
      </w:pPr>
      <w:bookmarkStart w:id="44" w:name="_Toc29175"/>
      <w:r>
        <w:rPr>
          <w:rFonts w:hint="eastAsia" w:ascii="宋体" w:hAnsi="宋体" w:cs="宋体"/>
          <w:sz w:val="24"/>
        </w:rPr>
        <w:t>（3）预览标书</w:t>
      </w:r>
      <w:bookmarkEnd w:id="44"/>
    </w:p>
    <w:p>
      <w:pPr>
        <w:pStyle w:val="47"/>
        <w:spacing w:line="240" w:lineRule="auto"/>
        <w:ind w:firstLine="480" w:firstLineChars="200"/>
        <w:rPr>
          <w:rFonts w:ascii="宋体" w:hAnsi="宋体" w:cs="宋体"/>
          <w:sz w:val="24"/>
        </w:rPr>
      </w:pPr>
      <w:r>
        <w:rPr>
          <w:rFonts w:ascii="宋体" w:hAnsi="宋体" w:cs="宋体"/>
          <w:sz w:val="24"/>
        </w:rPr>
        <w:t>点击3预览标书，进行标书信息的检查，确认无误后，可进行下一步生成标书。</w:t>
      </w:r>
    </w:p>
    <w:p>
      <w:pPr>
        <w:ind w:firstLine="14"/>
        <w:jc w:val="center"/>
        <w:textAlignment w:val="center"/>
        <w:rPr>
          <w:sz w:val="28"/>
          <w:szCs w:val="28"/>
        </w:rPr>
      </w:pPr>
      <w:r>
        <w:rPr>
          <w:sz w:val="28"/>
          <w:szCs w:val="28"/>
        </w:rPr>
        <w:drawing>
          <wp:inline distT="0" distB="0" distL="0" distR="0">
            <wp:extent cx="3959860" cy="2656205"/>
            <wp:effectExtent l="0" t="0" r="2540" b="0"/>
            <wp:docPr id="41" name="IM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IM 41"/>
                    <pic:cNvPicPr>
                      <a:picLocks noChangeAspect="true"/>
                    </pic:cNvPicPr>
                  </pic:nvPicPr>
                  <pic:blipFill>
                    <a:blip r:embed="rId23"/>
                    <a:stretch>
                      <a:fillRect/>
                    </a:stretch>
                  </pic:blipFill>
                  <pic:spPr>
                    <a:xfrm>
                      <a:off x="0" y="0"/>
                      <a:ext cx="3960000" cy="2656800"/>
                    </a:xfrm>
                    <a:prstGeom prst="rect">
                      <a:avLst/>
                    </a:prstGeom>
                  </pic:spPr>
                </pic:pic>
              </a:graphicData>
            </a:graphic>
          </wp:inline>
        </w:drawing>
      </w:r>
    </w:p>
    <w:p>
      <w:pPr>
        <w:pStyle w:val="47"/>
        <w:spacing w:line="240" w:lineRule="auto"/>
        <w:ind w:firstLine="480" w:firstLineChars="200"/>
        <w:rPr>
          <w:rFonts w:ascii="宋体" w:hAnsi="宋体" w:cs="宋体"/>
          <w:sz w:val="24"/>
        </w:rPr>
      </w:pPr>
    </w:p>
    <w:p>
      <w:pPr>
        <w:pStyle w:val="47"/>
        <w:spacing w:line="240" w:lineRule="auto"/>
        <w:ind w:firstLine="480" w:firstLineChars="200"/>
        <w:rPr>
          <w:rFonts w:ascii="宋体" w:hAnsi="宋体" w:cs="宋体"/>
          <w:sz w:val="24"/>
        </w:rPr>
      </w:pPr>
      <w:bookmarkStart w:id="45" w:name="_Toc1032"/>
      <w:r>
        <w:rPr>
          <w:rFonts w:hint="eastAsia" w:ascii="宋体" w:hAnsi="宋体" w:cs="宋体"/>
          <w:sz w:val="24"/>
        </w:rPr>
        <w:t>（4）生成标书</w:t>
      </w:r>
      <w:bookmarkEnd w:id="45"/>
    </w:p>
    <w:p>
      <w:pPr>
        <w:pStyle w:val="47"/>
        <w:spacing w:line="240" w:lineRule="auto"/>
        <w:ind w:firstLine="480" w:firstLineChars="200"/>
        <w:rPr>
          <w:rFonts w:ascii="宋体" w:hAnsi="宋体" w:cs="宋体"/>
          <w:sz w:val="24"/>
        </w:rPr>
      </w:pPr>
      <w:r>
        <w:rPr>
          <w:rFonts w:ascii="宋体" w:hAnsi="宋体" w:cs="宋体"/>
          <w:sz w:val="24"/>
        </w:rPr>
        <w:t>点击4生成标书，并将生成的标书保存到本地文件夹。确认后便完成了投标文件的制作。</w:t>
      </w:r>
    </w:p>
    <w:p>
      <w:pPr>
        <w:ind w:firstLine="14"/>
        <w:jc w:val="center"/>
        <w:textAlignment w:val="center"/>
        <w:rPr>
          <w:sz w:val="28"/>
          <w:szCs w:val="28"/>
        </w:rPr>
      </w:pPr>
      <w:r>
        <w:rPr>
          <w:sz w:val="28"/>
          <w:szCs w:val="28"/>
        </w:rPr>
        <w:drawing>
          <wp:inline distT="0" distB="0" distL="0" distR="0">
            <wp:extent cx="3959860" cy="2685415"/>
            <wp:effectExtent l="0" t="0" r="2540" b="635"/>
            <wp:docPr id="42" name="IM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IM 42"/>
                    <pic:cNvPicPr>
                      <a:picLocks noChangeAspect="true"/>
                    </pic:cNvPicPr>
                  </pic:nvPicPr>
                  <pic:blipFill>
                    <a:blip r:embed="rId24"/>
                    <a:stretch>
                      <a:fillRect/>
                    </a:stretch>
                  </pic:blipFill>
                  <pic:spPr>
                    <a:xfrm>
                      <a:off x="0" y="0"/>
                      <a:ext cx="3960000" cy="2685600"/>
                    </a:xfrm>
                    <a:prstGeom prst="rect">
                      <a:avLst/>
                    </a:prstGeom>
                  </pic:spPr>
                </pic:pic>
              </a:graphicData>
            </a:graphic>
          </wp:inline>
        </w:drawing>
      </w:r>
    </w:p>
    <w:p>
      <w:pPr>
        <w:ind w:firstLine="14"/>
        <w:jc w:val="center"/>
        <w:textAlignment w:val="center"/>
        <w:rPr>
          <w:sz w:val="28"/>
          <w:szCs w:val="28"/>
        </w:rPr>
      </w:pPr>
      <w:r>
        <w:rPr>
          <w:sz w:val="28"/>
          <w:szCs w:val="28"/>
        </w:rPr>
        <w:drawing>
          <wp:inline distT="0" distB="0" distL="0" distR="0">
            <wp:extent cx="3959860" cy="2299335"/>
            <wp:effectExtent l="0" t="0" r="2540" b="5715"/>
            <wp:docPr id="7" name="IM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 43"/>
                    <pic:cNvPicPr>
                      <a:picLocks noChangeAspect="true"/>
                    </pic:cNvPicPr>
                  </pic:nvPicPr>
                  <pic:blipFill>
                    <a:blip r:embed="rId25"/>
                    <a:stretch>
                      <a:fillRect/>
                    </a:stretch>
                  </pic:blipFill>
                  <pic:spPr>
                    <a:xfrm>
                      <a:off x="0" y="0"/>
                      <a:ext cx="3960000" cy="2299335"/>
                    </a:xfrm>
                    <a:prstGeom prst="rect">
                      <a:avLst/>
                    </a:prstGeom>
                  </pic:spPr>
                </pic:pic>
              </a:graphicData>
            </a:graphic>
          </wp:inline>
        </w:drawing>
      </w:r>
    </w:p>
    <w:p>
      <w:pPr>
        <w:ind w:firstLine="14"/>
        <w:jc w:val="center"/>
        <w:textAlignment w:val="center"/>
        <w:rPr>
          <w:rFonts w:ascii="宋体" w:hAnsi="宋体" w:eastAsia="宋体" w:cs="宋体"/>
          <w:sz w:val="24"/>
          <w:szCs w:val="24"/>
        </w:rPr>
      </w:pPr>
      <w:r>
        <w:rPr>
          <w:sz w:val="28"/>
          <w:szCs w:val="28"/>
        </w:rPr>
        <w:drawing>
          <wp:inline distT="0" distB="0" distL="0" distR="0">
            <wp:extent cx="3959860" cy="2559050"/>
            <wp:effectExtent l="0" t="0" r="2540" b="0"/>
            <wp:docPr id="12" name="IM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IM 44"/>
                    <pic:cNvPicPr>
                      <a:picLocks noChangeAspect="true"/>
                    </pic:cNvPicPr>
                  </pic:nvPicPr>
                  <pic:blipFill>
                    <a:blip r:embed="rId26"/>
                    <a:stretch>
                      <a:fillRect/>
                    </a:stretch>
                  </pic:blipFill>
                  <pic:spPr>
                    <a:xfrm>
                      <a:off x="0" y="0"/>
                      <a:ext cx="3960000" cy="2559600"/>
                    </a:xfrm>
                    <a:prstGeom prst="rect">
                      <a:avLst/>
                    </a:prstGeom>
                  </pic:spPr>
                </pic:pic>
              </a:graphicData>
            </a:graphic>
          </wp:inline>
        </w:drawing>
      </w: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46" w:name="_Toc483773154"/>
      <w:r>
        <w:rPr>
          <w:rFonts w:hint="eastAsia" w:ascii="Times New Roman" w:hAnsi="Times New Roman" w:eastAsia="宋体" w:cs="Times New Roman"/>
          <w:b/>
          <w:bCs/>
          <w:color w:val="000000" w:themeColor="text1"/>
          <w:kern w:val="44"/>
          <w:sz w:val="32"/>
          <w:szCs w:val="28"/>
          <w14:textFill>
            <w14:solidFill>
              <w14:schemeClr w14:val="tx1"/>
            </w14:solidFill>
          </w14:textFill>
        </w:rPr>
        <w:t>上传投标文件</w:t>
      </w:r>
      <w:bookmarkEnd w:id="25"/>
      <w:bookmarkEnd w:id="36"/>
      <w:bookmarkEnd w:id="37"/>
      <w:bookmarkEnd w:id="38"/>
      <w:bookmarkEnd w:id="46"/>
    </w:p>
    <w:p>
      <w:pPr>
        <w:pStyle w:val="47"/>
        <w:spacing w:line="240" w:lineRule="auto"/>
        <w:ind w:firstLine="480" w:firstLineChars="200"/>
        <w:rPr>
          <w:rFonts w:ascii="宋体" w:hAnsi="宋体" w:cs="宋体"/>
          <w:sz w:val="24"/>
        </w:rPr>
      </w:pPr>
      <w:r>
        <w:rPr>
          <w:rFonts w:hint="eastAsia" w:ascii="宋体" w:hAnsi="宋体" w:cs="宋体"/>
          <w:sz w:val="24"/>
        </w:rPr>
        <w:t>在制作软件制作完标书之后把投标文件上传到系统，上传后可以操作模拟解密，如有问题可以联系咨询电话：400-9980000。</w:t>
      </w:r>
    </w:p>
    <w:p>
      <w:pPr>
        <w:pStyle w:val="47"/>
        <w:spacing w:line="240" w:lineRule="auto"/>
        <w:ind w:firstLine="420" w:firstLineChars="200"/>
        <w:jc w:val="center"/>
        <w:rPr>
          <w:rFonts w:ascii="宋体" w:hAnsi="宋体" w:cs="宋体"/>
          <w:sz w:val="24"/>
        </w:rPr>
      </w:pPr>
      <w:r>
        <w:drawing>
          <wp:inline distT="0" distB="0" distL="114300" distR="114300">
            <wp:extent cx="4502150" cy="3046730"/>
            <wp:effectExtent l="0" t="0" r="12700" b="1270"/>
            <wp:docPr id="4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true"/>
                    </pic:cNvPicPr>
                  </pic:nvPicPr>
                  <pic:blipFill>
                    <a:blip r:embed="rId27"/>
                    <a:stretch>
                      <a:fillRect/>
                    </a:stretch>
                  </pic:blipFill>
                  <pic:spPr>
                    <a:xfrm>
                      <a:off x="0" y="0"/>
                      <a:ext cx="4502150" cy="3046730"/>
                    </a:xfrm>
                    <a:prstGeom prst="rect">
                      <a:avLst/>
                    </a:prstGeom>
                    <a:noFill/>
                    <a:ln>
                      <a:noFill/>
                    </a:ln>
                  </pic:spPr>
                </pic:pic>
              </a:graphicData>
            </a:graphic>
          </wp:inline>
        </w:drawing>
      </w:r>
    </w:p>
    <w:p>
      <w:pPr>
        <w:pStyle w:val="47"/>
        <w:spacing w:line="240" w:lineRule="auto"/>
        <w:jc w:val="center"/>
        <w:rPr>
          <w:rFonts w:ascii="宋体" w:hAnsi="宋体" w:cs="宋体"/>
          <w:sz w:val="24"/>
        </w:rPr>
      </w:pPr>
      <w:r>
        <w:drawing>
          <wp:inline distT="0" distB="0" distL="114300" distR="114300">
            <wp:extent cx="4720590" cy="1047115"/>
            <wp:effectExtent l="0" t="0" r="3810" b="635"/>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28"/>
                    <a:stretch>
                      <a:fillRect/>
                    </a:stretch>
                  </pic:blipFill>
                  <pic:spPr>
                    <a:xfrm>
                      <a:off x="0" y="0"/>
                      <a:ext cx="4720590" cy="1047600"/>
                    </a:xfrm>
                    <a:prstGeom prst="rect">
                      <a:avLst/>
                    </a:prstGeom>
                    <a:noFill/>
                    <a:ln>
                      <a:noFill/>
                    </a:ln>
                  </pic:spPr>
                </pic:pic>
              </a:graphicData>
            </a:graphic>
          </wp:inline>
        </w:drawing>
      </w:r>
      <w:r>
        <w:rPr>
          <w:rFonts w:hint="eastAsia" w:ascii="宋体" w:hAnsi="宋体" w:cs="宋体"/>
          <w:sz w:val="24"/>
        </w:rPr>
        <w:drawing>
          <wp:inline distT="0" distB="0" distL="0" distR="0">
            <wp:extent cx="4740275" cy="1925955"/>
            <wp:effectExtent l="0" t="0" r="3175" b="17145"/>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29"/>
                    <a:stretch>
                      <a:fillRect/>
                    </a:stretch>
                  </pic:blipFill>
                  <pic:spPr>
                    <a:xfrm>
                      <a:off x="0" y="0"/>
                      <a:ext cx="4740275" cy="1926000"/>
                    </a:xfrm>
                    <a:prstGeom prst="rect">
                      <a:avLst/>
                    </a:prstGeom>
                  </pic:spPr>
                </pic:pic>
              </a:graphicData>
            </a:graphic>
          </wp:inline>
        </w:drawing>
      </w: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47" w:name="_Toc16545"/>
      <w:bookmarkStart w:id="48" w:name="_Toc9418"/>
      <w:bookmarkStart w:id="49" w:name="_Toc15917"/>
      <w:bookmarkStart w:id="50" w:name="_Toc792619937"/>
      <w:bookmarkStart w:id="51" w:name="_Toc125985187"/>
      <w:r>
        <w:rPr>
          <w:rFonts w:hint="eastAsia" w:ascii="Times New Roman" w:hAnsi="Times New Roman" w:eastAsia="宋体" w:cs="Times New Roman"/>
          <w:b/>
          <w:bCs/>
          <w:color w:val="000000" w:themeColor="text1"/>
          <w:kern w:val="44"/>
          <w:sz w:val="32"/>
          <w:szCs w:val="28"/>
          <w14:textFill>
            <w14:solidFill>
              <w14:schemeClr w14:val="tx1"/>
            </w14:solidFill>
          </w14:textFill>
        </w:rPr>
        <w:t>网上开标</w:t>
      </w:r>
      <w:bookmarkEnd w:id="47"/>
      <w:bookmarkEnd w:id="48"/>
      <w:bookmarkEnd w:id="49"/>
      <w:bookmarkEnd w:id="50"/>
      <w:bookmarkEnd w:id="51"/>
    </w:p>
    <w:p>
      <w:pPr>
        <w:pStyle w:val="51"/>
        <w:keepNext/>
        <w:keepLines/>
        <w:numPr>
          <w:ilvl w:val="0"/>
          <w:numId w:val="0"/>
        </w:numPr>
        <w:tabs>
          <w:tab w:val="left" w:pos="567"/>
        </w:tabs>
        <w:ind w:left="425" w:leftChars="0"/>
        <w:outlineLvl w:val="1"/>
        <w:rPr>
          <w:rFonts w:hint="eastAsia" w:ascii="宋体" w:hAnsi="宋体" w:eastAsia="宋体" w:cs="宋体"/>
          <w:b/>
          <w:sz w:val="24"/>
          <w:szCs w:val="24"/>
          <w:lang w:eastAsia="zh-CN"/>
        </w:rPr>
      </w:pPr>
      <w:bookmarkStart w:id="52" w:name="_Toc1811140839"/>
      <w:r>
        <w:rPr>
          <w:rFonts w:hint="eastAsia" w:ascii="宋体" w:hAnsi="宋体" w:eastAsia="宋体" w:cs="宋体"/>
          <w:b/>
          <w:sz w:val="24"/>
          <w:szCs w:val="24"/>
          <w:lang w:val="en-US" w:eastAsia="zh-CN"/>
        </w:rPr>
        <w:t>1、进入</w:t>
      </w:r>
      <w:r>
        <w:rPr>
          <w:rFonts w:hint="eastAsia" w:ascii="宋体" w:hAnsi="宋体" w:eastAsia="宋体" w:cs="宋体"/>
          <w:b/>
          <w:sz w:val="24"/>
          <w:szCs w:val="24"/>
          <w:lang w:eastAsia="zh-CN"/>
        </w:rPr>
        <w:t>网上</w:t>
      </w:r>
      <w:r>
        <w:rPr>
          <w:rFonts w:hint="eastAsia" w:ascii="宋体" w:hAnsi="宋体" w:eastAsia="宋体" w:cs="宋体"/>
          <w:b/>
          <w:sz w:val="24"/>
          <w:szCs w:val="24"/>
        </w:rPr>
        <w:t>开标系统</w:t>
      </w:r>
      <w:bookmarkEnd w:id="52"/>
    </w:p>
    <w:p>
      <w:pPr>
        <w:pStyle w:val="47"/>
        <w:numPr>
          <w:ilvl w:val="0"/>
          <w:numId w:val="0"/>
        </w:numPr>
        <w:spacing w:line="240" w:lineRule="auto"/>
        <w:ind w:firstLine="480" w:firstLineChars="200"/>
        <w:rPr>
          <w:rFonts w:ascii="宋体" w:hAnsi="宋体" w:cs="宋体"/>
          <w:sz w:val="24"/>
        </w:rPr>
      </w:pPr>
      <w:r>
        <w:rPr>
          <w:rFonts w:hint="eastAsia" w:ascii="宋体" w:hAnsi="宋体" w:cs="宋体"/>
          <w:sz w:val="24"/>
        </w:rPr>
        <w:t>开标当天投标人可从交易系统“不见面开标签到解密”进入不见面开标大厅进行开标解密操作，</w:t>
      </w:r>
      <w:r>
        <w:rPr>
          <w:rFonts w:hint="eastAsia" w:ascii="宋体" w:hAnsi="宋体" w:cs="宋体"/>
          <w:sz w:val="24"/>
          <w:lang w:eastAsia="zh-CN"/>
        </w:rPr>
        <w:t>相关详细操作教程可“在湖南省公共资源交易服务平台”下载</w:t>
      </w:r>
      <w:r>
        <w:rPr>
          <w:rFonts w:hint="eastAsia" w:ascii="宋体" w:hAnsi="宋体" w:cs="宋体"/>
          <w:sz w:val="24"/>
        </w:rPr>
        <w:t>《湖南省公共资源交易中心工程建设网上开标服务指南》。</w:t>
      </w:r>
    </w:p>
    <w:p>
      <w:pPr>
        <w:pStyle w:val="47"/>
        <w:spacing w:line="240" w:lineRule="auto"/>
        <w:jc w:val="center"/>
      </w:pPr>
      <w:r>
        <w:drawing>
          <wp:inline distT="0" distB="0" distL="114300" distR="114300">
            <wp:extent cx="3959860" cy="3505835"/>
            <wp:effectExtent l="0" t="0" r="2540" b="0"/>
            <wp:docPr id="4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true"/>
                    </pic:cNvPicPr>
                  </pic:nvPicPr>
                  <pic:blipFill>
                    <a:blip r:embed="rId30"/>
                    <a:stretch>
                      <a:fillRect/>
                    </a:stretch>
                  </pic:blipFill>
                  <pic:spPr>
                    <a:xfrm>
                      <a:off x="0" y="0"/>
                      <a:ext cx="3960000" cy="3506400"/>
                    </a:xfrm>
                    <a:prstGeom prst="rect">
                      <a:avLst/>
                    </a:prstGeom>
                    <a:noFill/>
                    <a:ln>
                      <a:noFill/>
                    </a:ln>
                  </pic:spPr>
                </pic:pic>
              </a:graphicData>
            </a:graphic>
          </wp:inline>
        </w:drawing>
      </w:r>
      <w:r>
        <w:drawing>
          <wp:inline distT="0" distB="0" distL="114300" distR="114300">
            <wp:extent cx="3959860" cy="798830"/>
            <wp:effectExtent l="0" t="0" r="2540" b="1270"/>
            <wp:docPr id="4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true"/>
                    </pic:cNvPicPr>
                  </pic:nvPicPr>
                  <pic:blipFill>
                    <a:blip r:embed="rId31"/>
                    <a:stretch>
                      <a:fillRect/>
                    </a:stretch>
                  </pic:blipFill>
                  <pic:spPr>
                    <a:xfrm>
                      <a:off x="0" y="0"/>
                      <a:ext cx="3960000" cy="799200"/>
                    </a:xfrm>
                    <a:prstGeom prst="rect">
                      <a:avLst/>
                    </a:prstGeom>
                    <a:noFill/>
                    <a:ln>
                      <a:noFill/>
                    </a:ln>
                  </pic:spPr>
                </pic:pic>
              </a:graphicData>
            </a:graphic>
          </wp:inline>
        </w:drawing>
      </w:r>
    </w:p>
    <w:p>
      <w:pPr>
        <w:jc w:val="center"/>
        <w:rPr>
          <w:rFonts w:ascii="宋体" w:hAnsi="宋体" w:eastAsia="宋体" w:cs="宋体"/>
          <w:sz w:val="24"/>
          <w:szCs w:val="24"/>
        </w:rPr>
      </w:pPr>
    </w:p>
    <w:p>
      <w:pPr>
        <w:pStyle w:val="51"/>
        <w:keepNext/>
        <w:keepLines/>
        <w:numPr>
          <w:ilvl w:val="0"/>
          <w:numId w:val="0"/>
        </w:numPr>
        <w:tabs>
          <w:tab w:val="left" w:pos="567"/>
        </w:tabs>
        <w:ind w:left="425" w:leftChars="0"/>
        <w:outlineLvl w:val="1"/>
        <w:rPr>
          <w:rFonts w:hint="eastAsia" w:ascii="宋体" w:hAnsi="宋体" w:eastAsia="宋体" w:cs="宋体"/>
          <w:b/>
          <w:sz w:val="24"/>
          <w:szCs w:val="24"/>
        </w:rPr>
      </w:pPr>
      <w:bookmarkStart w:id="53" w:name="_Toc879711294"/>
      <w:r>
        <w:rPr>
          <w:rFonts w:hint="eastAsia" w:ascii="宋体" w:hAnsi="宋体" w:eastAsia="宋体" w:cs="宋体"/>
          <w:b/>
          <w:sz w:val="24"/>
          <w:szCs w:val="24"/>
          <w:lang w:val="en-US" w:eastAsia="zh-CN"/>
        </w:rPr>
        <w:t>2、</w:t>
      </w:r>
      <w:r>
        <w:rPr>
          <w:rFonts w:hint="eastAsia" w:ascii="宋体" w:hAnsi="宋体" w:eastAsia="宋体" w:cs="宋体"/>
          <w:b/>
          <w:sz w:val="24"/>
          <w:szCs w:val="24"/>
          <w:lang w:eastAsia="zh-CN"/>
        </w:rPr>
        <w:t>网上</w:t>
      </w:r>
      <w:r>
        <w:rPr>
          <w:rFonts w:hint="eastAsia" w:ascii="宋体" w:hAnsi="宋体" w:eastAsia="宋体" w:cs="宋体"/>
          <w:b/>
          <w:sz w:val="24"/>
          <w:szCs w:val="24"/>
        </w:rPr>
        <w:t>开标准备</w:t>
      </w:r>
      <w:bookmarkEnd w:id="53"/>
    </w:p>
    <w:p>
      <w:pPr>
        <w:ind w:firstLine="420"/>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登录系统后，可在项目列表页面查看标段开标状态，点击进入对应开标标段。右上角有“退出”按钮，点击可退出系统，中间项目列表区域右上角可根据标段名称或者标段编号查询，如下图：</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918335"/>
            <wp:effectExtent l="0" t="0" r="2540" b="5715"/>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32" cstate="print">
                      <a:extLst>
                        <a:ext uri="{28A0092B-C50C-407E-A947-70E740481C1C}">
                          <a14:useLocalDpi xmlns:a14="http://schemas.microsoft.com/office/drawing/2010/main" val="false"/>
                        </a:ext>
                      </a:extLst>
                    </a:blip>
                    <a:srcRect/>
                    <a:stretch>
                      <a:fillRect/>
                    </a:stretch>
                  </pic:blipFill>
                  <pic:spPr>
                    <a:xfrm>
                      <a:off x="0" y="0"/>
                      <a:ext cx="3960000" cy="1918800"/>
                    </a:xfrm>
                    <a:prstGeom prst="rect">
                      <a:avLst/>
                    </a:prstGeom>
                    <a:noFill/>
                    <a:ln>
                      <a:noFill/>
                    </a:ln>
                  </pic:spPr>
                </pic:pic>
              </a:graphicData>
            </a:graphic>
          </wp:inline>
        </w:drawing>
      </w:r>
    </w:p>
    <w:p>
      <w:pPr>
        <w:ind w:firstLine="42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进入页面首先阅读开标流程，以实际登录系统为准，点击“我已阅读”进入开标大厅，点击“取消”返回项目列表页面。</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2897505"/>
            <wp:effectExtent l="0" t="0" r="2540" b="17145"/>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33"/>
                    <a:stretch>
                      <a:fillRect/>
                    </a:stretch>
                  </pic:blipFill>
                  <pic:spPr>
                    <a:xfrm>
                      <a:off x="0" y="0"/>
                      <a:ext cx="3960000" cy="2898000"/>
                    </a:xfrm>
                    <a:prstGeom prst="rect">
                      <a:avLst/>
                    </a:prstGeom>
                  </pic:spPr>
                </pic:pic>
              </a:graphicData>
            </a:graphic>
          </wp:inline>
        </w:drawing>
      </w:r>
    </w:p>
    <w:p>
      <w:p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页面上方展示基础信息、右上方有“返回”按钮，点击返回项目列表页面；左侧中间部分是开标环节展示</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2231390"/>
            <wp:effectExtent l="0" t="0" r="2540" b="1651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34" cstate="print">
                      <a:extLst>
                        <a:ext uri="{28A0092B-C50C-407E-A947-70E740481C1C}">
                          <a14:useLocalDpi xmlns:a14="http://schemas.microsoft.com/office/drawing/2010/main" val="false"/>
                        </a:ext>
                      </a:extLst>
                    </a:blip>
                    <a:srcRect/>
                    <a:stretch>
                      <a:fillRect/>
                    </a:stretch>
                  </pic:blipFill>
                  <pic:spPr>
                    <a:xfrm>
                      <a:off x="0" y="0"/>
                      <a:ext cx="3960000" cy="2232000"/>
                    </a:xfrm>
                    <a:prstGeom prst="rect">
                      <a:avLst/>
                    </a:prstGeom>
                    <a:noFill/>
                    <a:ln>
                      <a:noFill/>
                    </a:ln>
                  </pic:spPr>
                </pic:pic>
              </a:graphicData>
            </a:graphic>
          </wp:inline>
        </w:drawing>
      </w:r>
    </w:p>
    <w:p>
      <w:p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右侧上部分为直播，直播开标场景，主持人开启直播直接即可观看；如果只能看到视频但听不到声音，刷新浏览器或者直播模式切换成主持人桌面即可。</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612265"/>
            <wp:effectExtent l="0" t="0" r="2540" b="698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35"/>
                    <a:stretch>
                      <a:fillRect/>
                    </a:stretch>
                  </pic:blipFill>
                  <pic:spPr>
                    <a:xfrm>
                      <a:off x="0" y="0"/>
                      <a:ext cx="3960000" cy="1612800"/>
                    </a:xfrm>
                    <a:prstGeom prst="rect">
                      <a:avLst/>
                    </a:prstGeom>
                  </pic:spPr>
                </pic:pic>
              </a:graphicData>
            </a:graphic>
          </wp:inline>
        </w:drawing>
      </w:r>
    </w:p>
    <w:p>
      <w:p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右侧下部分是公告栏，主要展示阶段信息、主持人切换视频、解密等信息；点击右上角放大镜可查看更多；</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62400" cy="2942590"/>
            <wp:effectExtent l="0" t="0" r="0" b="1016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36"/>
                    <a:stretch>
                      <a:fillRect/>
                    </a:stretch>
                  </pic:blipFill>
                  <pic:spPr>
                    <a:xfrm>
                      <a:off x="0" y="0"/>
                      <a:ext cx="3960000" cy="2941115"/>
                    </a:xfrm>
                    <a:prstGeom prst="rect">
                      <a:avLst/>
                    </a:prstGeom>
                  </pic:spPr>
                </pic:pic>
              </a:graphicData>
            </a:graphic>
          </wp:inline>
        </w:drawing>
      </w:r>
    </w:p>
    <w:p>
      <w:pPr>
        <w:pStyle w:val="51"/>
        <w:keepNext/>
        <w:keepLines/>
        <w:tabs>
          <w:tab w:val="left" w:pos="567"/>
        </w:tabs>
        <w:ind w:left="425" w:firstLine="0" w:firstLineChars="0"/>
        <w:outlineLvl w:val="1"/>
        <w:rPr>
          <w:rFonts w:hint="eastAsia" w:ascii="宋体" w:hAnsi="宋体" w:eastAsia="宋体" w:cs="宋体"/>
          <w:b/>
          <w:sz w:val="24"/>
          <w:szCs w:val="24"/>
          <w:lang w:eastAsia="zh-CN"/>
        </w:rPr>
      </w:pPr>
      <w:bookmarkStart w:id="54" w:name="_Toc1817788656"/>
      <w:r>
        <w:rPr>
          <w:rFonts w:hint="eastAsia" w:ascii="宋体" w:hAnsi="宋体" w:eastAsia="宋体" w:cs="宋体"/>
          <w:b/>
          <w:sz w:val="24"/>
          <w:szCs w:val="24"/>
          <w:lang w:val="en-US" w:eastAsia="zh-CN"/>
        </w:rPr>
        <w:t>3、</w:t>
      </w:r>
      <w:r>
        <w:rPr>
          <w:rFonts w:hint="eastAsia" w:ascii="宋体" w:hAnsi="宋体" w:eastAsia="宋体" w:cs="宋体"/>
          <w:b/>
          <w:sz w:val="24"/>
          <w:szCs w:val="24"/>
        </w:rPr>
        <w:t>等待开标</w:t>
      </w:r>
      <w:bookmarkEnd w:id="54"/>
    </w:p>
    <w:p>
      <w:pPr>
        <w:numPr>
          <w:ilvl w:val="0"/>
          <w:numId w:val="0"/>
        </w:numPr>
        <w:tabs>
          <w:tab w:val="left" w:pos="464"/>
        </w:tabs>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点击下方“签到”按钮进行签到。签到成功后会在右下信息框显示，签到情况。签到成功之后，按钮灰化，无需再次签到（未签到不影响下一步解密）。右上方可查看招标代理主持开标画面，进行语音交流。</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2228215"/>
            <wp:effectExtent l="0" t="0" r="2540" b="635"/>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3960000" cy="2228400"/>
                    </a:xfrm>
                    <a:prstGeom prst="rect">
                      <a:avLst/>
                    </a:prstGeom>
                    <a:noFill/>
                    <a:ln>
                      <a:noFill/>
                    </a:ln>
                  </pic:spPr>
                </pic:pic>
              </a:graphicData>
            </a:graphic>
          </wp:inline>
        </w:drawing>
      </w:r>
    </w:p>
    <w:p>
      <w:pPr>
        <w:numPr>
          <w:ilvl w:val="0"/>
          <w:numId w:val="0"/>
        </w:numPr>
        <w:tabs>
          <w:tab w:val="left" w:pos="464"/>
        </w:tabs>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同时第一个座位图右下角出现绿色√；</w:t>
      </w:r>
    </w:p>
    <w:p>
      <w:pPr>
        <w:ind w:firstLine="630" w:firstLineChars="300"/>
      </w:pPr>
      <w:r>
        <w:rPr>
          <w:rFonts w:hint="eastAsia"/>
        </w:rPr>
        <w:t>在席：</w:t>
      </w:r>
      <w:r>
        <w:rPr>
          <w:rFonts w:hint="eastAsia"/>
        </w:rPr>
        <w:drawing>
          <wp:inline distT="0" distB="0" distL="0" distR="0">
            <wp:extent cx="678180" cy="632460"/>
            <wp:effectExtent l="0" t="0" r="7620" b="1524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noChangeArrowheads="true"/>
                    </pic:cNvPicPr>
                  </pic:nvPicPr>
                  <pic:blipFill>
                    <a:blip r:embed="rId38">
                      <a:extLst>
                        <a:ext uri="{28A0092B-C50C-407E-A947-70E740481C1C}">
                          <a14:useLocalDpi xmlns:a14="http://schemas.microsoft.com/office/drawing/2010/main" val="false"/>
                        </a:ext>
                      </a:extLst>
                    </a:blip>
                    <a:srcRect/>
                    <a:stretch>
                      <a:fillRect/>
                    </a:stretch>
                  </pic:blipFill>
                  <pic:spPr>
                    <a:xfrm>
                      <a:off x="0" y="0"/>
                      <a:ext cx="678180" cy="632460"/>
                    </a:xfrm>
                    <a:prstGeom prst="rect">
                      <a:avLst/>
                    </a:prstGeom>
                    <a:noFill/>
                    <a:ln>
                      <a:noFill/>
                    </a:ln>
                  </pic:spPr>
                </pic:pic>
              </a:graphicData>
            </a:graphic>
          </wp:inline>
        </w:drawing>
      </w:r>
      <w:r>
        <w:rPr>
          <w:rFonts w:hint="eastAsia"/>
        </w:rPr>
        <w:t xml:space="preserve"> 离席：</w:t>
      </w:r>
      <w:r>
        <w:rPr>
          <w:rFonts w:hint="eastAsia"/>
        </w:rPr>
        <w:drawing>
          <wp:inline distT="0" distB="0" distL="0" distR="0">
            <wp:extent cx="670560" cy="632460"/>
            <wp:effectExtent l="0" t="0" r="15240" b="1524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670560" cy="632460"/>
                    </a:xfrm>
                    <a:prstGeom prst="rect">
                      <a:avLst/>
                    </a:prstGeom>
                    <a:noFill/>
                    <a:ln>
                      <a:noFill/>
                    </a:ln>
                  </pic:spPr>
                </pic:pic>
              </a:graphicData>
            </a:graphic>
          </wp:inline>
        </w:drawing>
      </w:r>
      <w:r>
        <w:rPr>
          <w:rFonts w:hint="eastAsia"/>
        </w:rPr>
        <w:t>，已签到：</w:t>
      </w:r>
      <w:r>
        <w:rPr>
          <w:rFonts w:hint="eastAsia"/>
        </w:rPr>
        <w:drawing>
          <wp:inline distT="0" distB="0" distL="0" distR="0">
            <wp:extent cx="1722120" cy="678180"/>
            <wp:effectExtent l="0" t="0" r="11430" b="762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noChangeArrowheads="true"/>
                    </pic:cNvPicPr>
                  </pic:nvPicPr>
                  <pic:blipFill>
                    <a:blip r:embed="rId40">
                      <a:extLst>
                        <a:ext uri="{28A0092B-C50C-407E-A947-70E740481C1C}">
                          <a14:useLocalDpi xmlns:a14="http://schemas.microsoft.com/office/drawing/2010/main" val="false"/>
                        </a:ext>
                      </a:extLst>
                    </a:blip>
                    <a:srcRect/>
                    <a:stretch>
                      <a:fillRect/>
                    </a:stretch>
                  </pic:blipFill>
                  <pic:spPr>
                    <a:xfrm>
                      <a:off x="0" y="0"/>
                      <a:ext cx="1722120" cy="678180"/>
                    </a:xfrm>
                    <a:prstGeom prst="rect">
                      <a:avLst/>
                    </a:prstGeom>
                    <a:noFill/>
                    <a:ln>
                      <a:noFill/>
                    </a:ln>
                  </pic:spPr>
                </pic:pic>
              </a:graphicData>
            </a:graphic>
          </wp:inline>
        </w:drawing>
      </w:r>
    </w:p>
    <w:p>
      <w:pPr>
        <w:pStyle w:val="51"/>
        <w:keepNext/>
        <w:keepLines/>
        <w:tabs>
          <w:tab w:val="left" w:pos="567"/>
        </w:tabs>
        <w:ind w:left="425" w:firstLine="0" w:firstLineChars="0"/>
        <w:outlineLvl w:val="1"/>
        <w:rPr>
          <w:rFonts w:ascii="宋体" w:hAnsi="宋体" w:eastAsia="宋体" w:cs="宋体"/>
          <w:b/>
          <w:sz w:val="24"/>
          <w:szCs w:val="24"/>
        </w:rPr>
      </w:pPr>
      <w:bookmarkStart w:id="55" w:name="_Toc1718748097"/>
      <w:r>
        <w:rPr>
          <w:rFonts w:hint="eastAsia" w:ascii="宋体" w:hAnsi="宋体" w:eastAsia="宋体" w:cs="宋体"/>
          <w:b/>
          <w:sz w:val="24"/>
          <w:szCs w:val="24"/>
          <w:lang w:val="en-US" w:eastAsia="zh-CN"/>
        </w:rPr>
        <w:t>4、</w:t>
      </w:r>
      <w:r>
        <w:rPr>
          <w:rFonts w:hint="eastAsia" w:ascii="宋体" w:hAnsi="宋体" w:eastAsia="宋体" w:cs="宋体"/>
          <w:b/>
          <w:sz w:val="24"/>
          <w:szCs w:val="24"/>
        </w:rPr>
        <w:t>查看投标人名单</w:t>
      </w:r>
      <w:bookmarkEnd w:id="55"/>
    </w:p>
    <w:p>
      <w:pPr>
        <w:ind w:firstLine="480" w:firstLineChars="200"/>
        <w:jc w:val="left"/>
        <w:rPr>
          <w:rFonts w:ascii="宋体" w:hAnsi="宋体" w:eastAsia="宋体" w:cs="宋体"/>
          <w:bCs/>
          <w:sz w:val="24"/>
          <w:szCs w:val="24"/>
        </w:rPr>
      </w:pPr>
      <w:r>
        <w:rPr>
          <w:rFonts w:hint="eastAsia" w:ascii="宋体" w:hAnsi="宋体" w:eastAsia="宋体" w:cs="宋体"/>
          <w:sz w:val="24"/>
          <w:szCs w:val="24"/>
        </w:rPr>
        <w:t>无需投标人操做，由招标代理操作，</w:t>
      </w:r>
      <w:r>
        <w:rPr>
          <w:rFonts w:hint="eastAsia" w:ascii="宋体" w:hAnsi="宋体" w:eastAsia="宋体" w:cs="宋体"/>
          <w:sz w:val="24"/>
          <w:szCs w:val="24"/>
          <w:lang w:eastAsia="zh-CN"/>
        </w:rPr>
        <w:t>投标人</w:t>
      </w:r>
      <w:r>
        <w:rPr>
          <w:rFonts w:hint="eastAsia" w:ascii="宋体" w:hAnsi="宋体" w:eastAsia="宋体" w:cs="宋体"/>
          <w:sz w:val="24"/>
          <w:szCs w:val="24"/>
        </w:rPr>
        <w:t>查看公布结果即可。</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695450"/>
            <wp:effectExtent l="0" t="0" r="2540" b="0"/>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41"/>
                    <a:stretch>
                      <a:fillRect/>
                    </a:stretch>
                  </pic:blipFill>
                  <pic:spPr>
                    <a:xfrm>
                      <a:off x="0" y="0"/>
                      <a:ext cx="3960000" cy="1695600"/>
                    </a:xfrm>
                    <a:prstGeom prst="rect">
                      <a:avLst/>
                    </a:prstGeom>
                  </pic:spPr>
                </pic:pic>
              </a:graphicData>
            </a:graphic>
          </wp:inline>
        </w:drawing>
      </w:r>
    </w:p>
    <w:p>
      <w:pPr>
        <w:pStyle w:val="51"/>
        <w:keepNext/>
        <w:keepLines/>
        <w:tabs>
          <w:tab w:val="left" w:pos="567"/>
        </w:tabs>
        <w:ind w:left="425" w:firstLine="0" w:firstLineChars="0"/>
        <w:outlineLvl w:val="1"/>
        <w:rPr>
          <w:rFonts w:ascii="宋体" w:hAnsi="宋体" w:eastAsia="宋体" w:cs="宋体"/>
          <w:b/>
          <w:sz w:val="24"/>
          <w:szCs w:val="24"/>
        </w:rPr>
      </w:pPr>
      <w:bookmarkStart w:id="56" w:name="_Toc1851422991"/>
      <w:r>
        <w:rPr>
          <w:rFonts w:hint="eastAsia" w:ascii="宋体" w:hAnsi="宋体" w:eastAsia="宋体" w:cs="宋体"/>
          <w:b/>
          <w:sz w:val="24"/>
          <w:szCs w:val="24"/>
          <w:lang w:val="en-US" w:eastAsia="zh-CN"/>
        </w:rPr>
        <w:t>5、</w:t>
      </w:r>
      <w:r>
        <w:rPr>
          <w:rFonts w:hint="eastAsia" w:ascii="宋体" w:hAnsi="宋体" w:eastAsia="宋体" w:cs="宋体"/>
          <w:b/>
          <w:sz w:val="24"/>
          <w:szCs w:val="24"/>
        </w:rPr>
        <w:t>投标人解密</w:t>
      </w:r>
      <w:bookmarkEnd w:id="56"/>
    </w:p>
    <w:p>
      <w:pPr>
        <w:ind w:firstLine="480" w:firstLineChars="200"/>
        <w:jc w:val="left"/>
        <w:rPr>
          <w:rFonts w:ascii="宋体" w:hAnsi="宋体" w:eastAsia="宋体" w:cs="宋体"/>
          <w:sz w:val="24"/>
          <w:szCs w:val="24"/>
        </w:rPr>
      </w:pPr>
      <w:r>
        <w:rPr>
          <w:rFonts w:hint="eastAsia" w:ascii="宋体" w:hAnsi="宋体" w:eastAsia="宋体" w:cs="宋体"/>
          <w:bCs/>
          <w:sz w:val="24"/>
          <w:szCs w:val="24"/>
        </w:rPr>
        <w:t>投标人必须用生成投标文件的ca锁（加解密证书必须一致）进行解密。</w:t>
      </w:r>
    </w:p>
    <w:p>
      <w:pPr>
        <w:keepNext w:val="0"/>
        <w:keepLines w:val="0"/>
        <w:widowControl/>
        <w:suppressLineNumbers w:val="0"/>
        <w:ind w:firstLine="480" w:firstLineChars="200"/>
        <w:jc w:val="left"/>
        <w:rPr>
          <w:rFonts w:hint="eastAsia"/>
          <w:color w:val="FF0000"/>
          <w:sz w:val="24"/>
          <w:highlight w:val="yellow"/>
          <w:shd w:val="clear" w:color="auto" w:fill="FFC000"/>
        </w:rPr>
      </w:pPr>
      <w:r>
        <w:rPr>
          <w:rFonts w:hint="eastAsia"/>
          <w:color w:val="FF0000"/>
          <w:sz w:val="24"/>
          <w:highlight w:val="yellow"/>
          <w:shd w:val="clear" w:color="auto" w:fill="FFC000"/>
        </w:rPr>
        <w:t>温馨提示：</w:t>
      </w:r>
    </w:p>
    <w:p>
      <w:pPr>
        <w:numPr>
          <w:ilvl w:val="0"/>
          <w:numId w:val="4"/>
        </w:numPr>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解密的使用的电脑必须安装新点驱动（全省版），并且驱动检测必须检测通过才能正常解密。</w:t>
      </w:r>
    </w:p>
    <w:p>
      <w:pPr>
        <w:numPr>
          <w:ilvl w:val="0"/>
          <w:numId w:val="4"/>
        </w:numPr>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解密所用的CA锁必须是生成投标文件用的CA锁，否则无法解密，产生的后果投标人自行承担。</w:t>
      </w:r>
    </w:p>
    <w:p>
      <w:pPr>
        <w:ind w:firstLine="480" w:firstLineChars="200"/>
        <w:jc w:val="left"/>
        <w:rPr>
          <w:rFonts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lang w:eastAsia="zh-CN"/>
        </w:rPr>
        <w:t>）</w:t>
      </w:r>
      <w:r>
        <w:rPr>
          <w:rFonts w:hint="eastAsia" w:ascii="宋体" w:hAnsi="宋体" w:eastAsia="宋体" w:cs="宋体"/>
          <w:bCs/>
          <w:sz w:val="24"/>
          <w:szCs w:val="24"/>
        </w:rPr>
        <w:t>操作步骤：</w:t>
      </w:r>
    </w:p>
    <w:p>
      <w:pPr>
        <w:numPr>
          <w:ilvl w:val="0"/>
          <w:numId w:val="0"/>
        </w:num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第一步：</w:t>
      </w:r>
      <w:r>
        <w:rPr>
          <w:rFonts w:hint="eastAsia" w:ascii="宋体" w:hAnsi="宋体" w:eastAsia="宋体" w:cs="宋体"/>
          <w:sz w:val="24"/>
          <w:szCs w:val="24"/>
        </w:rPr>
        <w:t>在解密时间内插入CA锁，输入密码，进行解密；务必在招标文件规定时间内完成解密。解密时间已到不可解密；请提前准备好CA锁。</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注意：</w:t>
      </w:r>
      <w:r>
        <w:rPr>
          <w:rFonts w:hint="eastAsia" w:ascii="宋体" w:hAnsi="宋体" w:eastAsia="宋体" w:cs="宋体"/>
          <w:sz w:val="24"/>
          <w:szCs w:val="24"/>
        </w:rPr>
        <w:t>如出现投标人开标解密失败处理原则如下：技术人员现场初步判断，如技术（系统、网络）原因，现场排除解决，需延长解密时限的由招标人确认延长时限；非技术原因解密失败，技术人员排除系统、网络问题后如仍不能解密，则不能解密的投标文件视为无效投标文件，由相应投标人自行承担责任</w:t>
      </w:r>
      <w:r>
        <w:rPr>
          <w:rFonts w:hint="eastAsia" w:ascii="宋体" w:hAnsi="宋体" w:eastAsia="宋体" w:cs="宋体"/>
          <w:sz w:val="24"/>
          <w:szCs w:val="24"/>
          <w:lang w:eastAsia="zh-CN"/>
        </w:rPr>
        <w:t>。</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2228215"/>
            <wp:effectExtent l="0" t="0" r="2540" b="635"/>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a:stretch>
                      <a:fillRect/>
                    </a:stretch>
                  </pic:blipFill>
                  <pic:spPr>
                    <a:xfrm>
                      <a:off x="0" y="0"/>
                      <a:ext cx="3960000" cy="2228400"/>
                    </a:xfrm>
                    <a:prstGeom prst="rect">
                      <a:avLst/>
                    </a:prstGeom>
                    <a:noFill/>
                    <a:ln>
                      <a:noFill/>
                    </a:ln>
                  </pic:spPr>
                </pic:pic>
              </a:graphicData>
            </a:graphic>
          </wp:inline>
        </w:drawing>
      </w:r>
    </w:p>
    <w:p>
      <w:p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第二步：</w:t>
      </w:r>
      <w:r>
        <w:rPr>
          <w:rFonts w:hint="eastAsia" w:ascii="宋体" w:hAnsi="宋体" w:eastAsia="宋体" w:cs="宋体"/>
          <w:sz w:val="24"/>
          <w:szCs w:val="24"/>
        </w:rPr>
        <w:t>解密状态显示对应的解密情况，当前单位只会显示“我的投标文件”；</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760220"/>
            <wp:effectExtent l="0" t="0" r="2540" b="1143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43"/>
                    <a:stretch>
                      <a:fillRect/>
                    </a:stretch>
                  </pic:blipFill>
                  <pic:spPr>
                    <a:xfrm>
                      <a:off x="0" y="0"/>
                      <a:ext cx="3960000" cy="1760400"/>
                    </a:xfrm>
                    <a:prstGeom prst="rect">
                      <a:avLst/>
                    </a:prstGeom>
                  </pic:spPr>
                </pic:pic>
              </a:graphicData>
            </a:graphic>
          </wp:inline>
        </w:drawing>
      </w:r>
    </w:p>
    <w:p>
      <w:pPr>
        <w:pStyle w:val="51"/>
        <w:keepNext/>
        <w:keepLines/>
        <w:tabs>
          <w:tab w:val="left" w:pos="567"/>
        </w:tabs>
        <w:ind w:left="425" w:firstLine="0" w:firstLineChars="0"/>
        <w:outlineLvl w:val="1"/>
        <w:rPr>
          <w:rFonts w:ascii="宋体" w:hAnsi="宋体" w:eastAsia="宋体" w:cs="宋体"/>
          <w:b/>
          <w:sz w:val="24"/>
          <w:szCs w:val="24"/>
        </w:rPr>
      </w:pPr>
      <w:bookmarkStart w:id="57" w:name="_Toc332619760"/>
      <w:r>
        <w:rPr>
          <w:rFonts w:hint="eastAsia" w:ascii="宋体" w:hAnsi="宋体" w:eastAsia="宋体" w:cs="宋体"/>
          <w:b/>
          <w:sz w:val="24"/>
          <w:szCs w:val="24"/>
          <w:lang w:val="en-US" w:eastAsia="zh-CN"/>
        </w:rPr>
        <w:t>6、</w:t>
      </w:r>
      <w:r>
        <w:rPr>
          <w:rFonts w:hint="eastAsia" w:ascii="宋体" w:hAnsi="宋体" w:eastAsia="宋体" w:cs="宋体"/>
          <w:b/>
          <w:sz w:val="24"/>
          <w:szCs w:val="24"/>
        </w:rPr>
        <w:t>唱标</w:t>
      </w:r>
      <w:bookmarkEnd w:id="57"/>
    </w:p>
    <w:p>
      <w:pPr>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由开标主持人操作，投标人</w:t>
      </w:r>
      <w:r>
        <w:rPr>
          <w:rFonts w:hint="eastAsia" w:ascii="宋体" w:hAnsi="宋体" w:eastAsia="宋体" w:cs="宋体"/>
          <w:sz w:val="24"/>
          <w:szCs w:val="24"/>
        </w:rPr>
        <w:t>无需操作</w:t>
      </w:r>
      <w:r>
        <w:rPr>
          <w:rFonts w:hint="eastAsia" w:ascii="宋体" w:hAnsi="宋体" w:eastAsia="宋体" w:cs="宋体"/>
          <w:sz w:val="24"/>
          <w:szCs w:val="24"/>
          <w:lang w:eastAsia="zh-CN"/>
        </w:rPr>
        <w:t>，</w:t>
      </w:r>
      <w:r>
        <w:rPr>
          <w:rFonts w:hint="eastAsia" w:ascii="宋体" w:hAnsi="宋体" w:eastAsia="宋体" w:cs="宋体"/>
          <w:sz w:val="24"/>
          <w:szCs w:val="24"/>
        </w:rPr>
        <w:t>观看唱标内容即可，有异议可点击“开标异议语音提问”或者“开启异议文字提问”方式提出异议</w:t>
      </w:r>
      <w:r>
        <w:rPr>
          <w:rFonts w:hint="eastAsia" w:ascii="宋体" w:hAnsi="宋体" w:eastAsia="宋体" w:cs="宋体"/>
          <w:sz w:val="24"/>
          <w:szCs w:val="24"/>
          <w:lang w:eastAsia="zh-CN"/>
        </w:rPr>
        <w:t>。</w:t>
      </w:r>
    </w:p>
    <w:p>
      <w:pPr>
        <w:pStyle w:val="51"/>
        <w:keepNext/>
        <w:keepLines/>
        <w:tabs>
          <w:tab w:val="left" w:pos="567"/>
        </w:tabs>
        <w:ind w:left="425" w:firstLine="0" w:firstLineChars="0"/>
        <w:outlineLvl w:val="1"/>
        <w:rPr>
          <w:rFonts w:hint="eastAsia" w:ascii="宋体" w:hAnsi="宋体" w:eastAsia="宋体" w:cs="宋体"/>
          <w:b/>
          <w:sz w:val="24"/>
          <w:szCs w:val="24"/>
          <w:lang w:eastAsia="zh-CN"/>
        </w:rPr>
      </w:pPr>
      <w:bookmarkStart w:id="58" w:name="_Toc107173111"/>
      <w:r>
        <w:rPr>
          <w:rFonts w:hint="eastAsia" w:ascii="宋体" w:hAnsi="宋体" w:eastAsia="宋体" w:cs="宋体"/>
          <w:b/>
          <w:sz w:val="24"/>
          <w:szCs w:val="24"/>
          <w:lang w:val="en-US" w:eastAsia="zh-CN"/>
        </w:rPr>
        <w:t>7、</w:t>
      </w:r>
      <w:r>
        <w:rPr>
          <w:rFonts w:hint="eastAsia" w:ascii="宋体" w:hAnsi="宋体" w:eastAsia="宋体" w:cs="宋体"/>
          <w:b/>
          <w:sz w:val="24"/>
          <w:szCs w:val="24"/>
          <w:lang w:eastAsia="zh-CN"/>
        </w:rPr>
        <w:t>开标</w:t>
      </w:r>
      <w:r>
        <w:rPr>
          <w:rFonts w:hint="eastAsia" w:ascii="宋体" w:hAnsi="宋体" w:eastAsia="宋体" w:cs="宋体"/>
          <w:b/>
          <w:sz w:val="24"/>
          <w:szCs w:val="24"/>
        </w:rPr>
        <w:t>异议</w:t>
      </w:r>
      <w:r>
        <w:rPr>
          <w:rFonts w:hint="eastAsia" w:ascii="宋体" w:hAnsi="宋体" w:eastAsia="宋体" w:cs="宋体"/>
          <w:b/>
          <w:sz w:val="24"/>
          <w:szCs w:val="24"/>
          <w:lang w:eastAsia="zh-CN"/>
        </w:rPr>
        <w:t>处置</w:t>
      </w:r>
      <w:bookmarkEnd w:id="58"/>
    </w:p>
    <w:p>
      <w:pPr>
        <w:ind w:firstLine="480" w:firstLineChars="200"/>
        <w:jc w:val="left"/>
        <w:rPr>
          <w:rFonts w:ascii="宋体" w:hAnsi="宋体" w:eastAsia="宋体" w:cs="宋体"/>
          <w:b/>
          <w:bCs/>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公布投标人之后</w:t>
      </w:r>
      <w:r>
        <w:rPr>
          <w:rFonts w:hint="eastAsia" w:ascii="宋体" w:hAnsi="宋体" w:eastAsia="宋体" w:cs="宋体"/>
          <w:bCs/>
          <w:sz w:val="24"/>
          <w:szCs w:val="24"/>
        </w:rPr>
        <w:t>开标结束之前，投标人在开标过程中可以通过语音提问给主持人提问。</w:t>
      </w:r>
      <w:r>
        <w:rPr>
          <w:rFonts w:hint="eastAsia" w:ascii="宋体" w:hAnsi="宋体" w:eastAsia="宋体" w:cs="宋体"/>
          <w:sz w:val="24"/>
          <w:szCs w:val="24"/>
        </w:rPr>
        <w:t>点击“开标异议语音提问”发起语音提问申请；</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781810"/>
            <wp:effectExtent l="0" t="0" r="2540" b="889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44"/>
                    <a:stretch>
                      <a:fillRect/>
                    </a:stretch>
                  </pic:blipFill>
                  <pic:spPr>
                    <a:xfrm>
                      <a:off x="0" y="0"/>
                      <a:ext cx="3960000" cy="1782000"/>
                    </a:xfrm>
                    <a:prstGeom prst="rect">
                      <a:avLst/>
                    </a:prstGeom>
                  </pic:spPr>
                </pic:pic>
              </a:graphicData>
            </a:graphic>
          </wp:inline>
        </w:drawing>
      </w:r>
    </w:p>
    <w:p>
      <w:pPr>
        <w:numPr>
          <w:ilvl w:val="0"/>
          <w:numId w:val="0"/>
        </w:numPr>
        <w:ind w:firstLine="480" w:firstLineChars="200"/>
        <w:jc w:val="left"/>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发起之后，按钮变为“取消当前提问”，在主持人未接通前可以取消，取消之后，或者主持人回答完毕之后可再次提问；</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717040"/>
            <wp:effectExtent l="0" t="0" r="2540" b="1651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45"/>
                    <a:stretch>
                      <a:fillRect/>
                    </a:stretch>
                  </pic:blipFill>
                  <pic:spPr>
                    <a:xfrm>
                      <a:off x="0" y="0"/>
                      <a:ext cx="3960000" cy="1717200"/>
                    </a:xfrm>
                    <a:prstGeom prst="rect">
                      <a:avLst/>
                    </a:prstGeom>
                  </pic:spPr>
                </pic:pic>
              </a:graphicData>
            </a:graphic>
          </wp:inline>
        </w:drawing>
      </w:r>
    </w:p>
    <w:p>
      <w:pPr>
        <w:pStyle w:val="51"/>
        <w:keepNext/>
        <w:keepLines/>
        <w:tabs>
          <w:tab w:val="left" w:pos="567"/>
        </w:tabs>
        <w:ind w:left="425" w:firstLine="0" w:firstLineChars="0"/>
        <w:outlineLvl w:val="1"/>
        <w:rPr>
          <w:rFonts w:ascii="宋体" w:hAnsi="宋体" w:eastAsia="宋体" w:cs="宋体"/>
          <w:b/>
          <w:sz w:val="24"/>
          <w:szCs w:val="24"/>
        </w:rPr>
      </w:pPr>
      <w:bookmarkStart w:id="59" w:name="_Toc1532768557"/>
      <w:r>
        <w:rPr>
          <w:rFonts w:hint="eastAsia" w:ascii="宋体" w:hAnsi="宋体" w:eastAsia="宋体" w:cs="宋体"/>
          <w:b/>
          <w:sz w:val="24"/>
          <w:szCs w:val="24"/>
          <w:lang w:val="en-US" w:eastAsia="zh-CN"/>
        </w:rPr>
        <w:t>8、</w:t>
      </w:r>
      <w:r>
        <w:rPr>
          <w:rFonts w:hint="eastAsia" w:ascii="宋体" w:hAnsi="宋体" w:eastAsia="宋体" w:cs="宋体"/>
          <w:b/>
          <w:sz w:val="24"/>
          <w:szCs w:val="24"/>
        </w:rPr>
        <w:t>唱标确认（投标人操作）</w:t>
      </w:r>
      <w:bookmarkEnd w:id="59"/>
    </w:p>
    <w:p>
      <w:pPr>
        <w:ind w:firstLine="480" w:firstLineChars="200"/>
        <w:jc w:val="left"/>
        <w:rPr>
          <w:rFonts w:ascii="宋体" w:hAnsi="宋体" w:eastAsia="宋体" w:cs="宋体"/>
          <w:b/>
          <w:sz w:val="24"/>
          <w:szCs w:val="24"/>
        </w:rPr>
      </w:pPr>
      <w:r>
        <w:rPr>
          <w:rFonts w:hint="eastAsia" w:ascii="宋体" w:hAnsi="宋体" w:eastAsia="宋体" w:cs="宋体"/>
          <w:sz w:val="24"/>
          <w:szCs w:val="24"/>
        </w:rPr>
        <w:t>主持人发起唱标确认指令之后，投标人页面会弹出唱标确认提示，在倒计时结束前点击确认，如倒计时完成后未确认的，</w:t>
      </w:r>
      <w:r>
        <w:rPr>
          <w:rFonts w:hint="eastAsia" w:ascii="宋体" w:hAnsi="宋体" w:eastAsia="宋体" w:cs="宋体"/>
          <w:color w:val="000000" w:themeColor="text1"/>
          <w:sz w:val="24"/>
          <w:szCs w:val="24"/>
          <w14:textFill>
            <w14:solidFill>
              <w14:schemeClr w14:val="tx1"/>
            </w14:solidFill>
          </w14:textFill>
        </w:rPr>
        <w:t>系统设置为默认确认。倒计时长：5分钟。</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788795"/>
            <wp:effectExtent l="0" t="0" r="2540" b="1905"/>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46"/>
                    <a:stretch>
                      <a:fillRect/>
                    </a:stretch>
                  </pic:blipFill>
                  <pic:spPr>
                    <a:xfrm>
                      <a:off x="0" y="0"/>
                      <a:ext cx="3960000" cy="1789200"/>
                    </a:xfrm>
                    <a:prstGeom prst="rect">
                      <a:avLst/>
                    </a:prstGeom>
                  </pic:spPr>
                </pic:pic>
              </a:graphicData>
            </a:graphic>
          </wp:inline>
        </w:drawing>
      </w:r>
    </w:p>
    <w:p>
      <w:pPr>
        <w:pStyle w:val="51"/>
        <w:keepNext/>
        <w:keepLines/>
        <w:tabs>
          <w:tab w:val="left" w:pos="567"/>
        </w:tabs>
        <w:ind w:left="425" w:firstLine="0" w:firstLineChars="0"/>
        <w:outlineLvl w:val="1"/>
        <w:rPr>
          <w:rFonts w:ascii="宋体" w:hAnsi="宋体" w:eastAsia="宋体" w:cs="宋体"/>
          <w:b/>
          <w:sz w:val="24"/>
          <w:szCs w:val="24"/>
        </w:rPr>
      </w:pPr>
      <w:bookmarkStart w:id="60" w:name="_Toc1266139906"/>
      <w:r>
        <w:rPr>
          <w:rFonts w:hint="eastAsia" w:ascii="宋体" w:hAnsi="宋体" w:eastAsia="宋体" w:cs="宋体"/>
          <w:b/>
          <w:sz w:val="24"/>
          <w:szCs w:val="24"/>
          <w:lang w:val="en-US" w:eastAsia="zh-CN"/>
        </w:rPr>
        <w:t>9、</w:t>
      </w:r>
      <w:r>
        <w:rPr>
          <w:rFonts w:hint="eastAsia" w:ascii="宋体" w:hAnsi="宋体" w:eastAsia="宋体" w:cs="宋体"/>
          <w:b/>
          <w:sz w:val="24"/>
          <w:szCs w:val="24"/>
        </w:rPr>
        <w:t>开标结束</w:t>
      </w:r>
      <w:bookmarkEnd w:id="60"/>
    </w:p>
    <w:p>
      <w:pPr>
        <w:ind w:firstLine="480" w:firstLineChars="200"/>
        <w:jc w:val="left"/>
        <w:rPr>
          <w:rFonts w:ascii="宋体" w:hAnsi="宋体" w:eastAsia="宋体" w:cs="宋体"/>
          <w:sz w:val="24"/>
          <w:szCs w:val="24"/>
        </w:rPr>
      </w:pPr>
      <w:r>
        <w:rPr>
          <w:rFonts w:hint="eastAsia" w:ascii="宋体" w:hAnsi="宋体" w:eastAsia="宋体" w:cs="宋体"/>
          <w:sz w:val="24"/>
          <w:szCs w:val="24"/>
        </w:rPr>
        <w:t>投标单位可查看、下载开标一览表，或自行退出标段；</w:t>
      </w:r>
    </w:p>
    <w:p>
      <w:pPr>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3959860" cy="1731010"/>
            <wp:effectExtent l="0" t="0" r="2540" b="254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47"/>
                    <a:stretch>
                      <a:fillRect/>
                    </a:stretch>
                  </pic:blipFill>
                  <pic:spPr>
                    <a:xfrm>
                      <a:off x="0" y="0"/>
                      <a:ext cx="3960000" cy="1731600"/>
                    </a:xfrm>
                    <a:prstGeom prst="rect">
                      <a:avLst/>
                    </a:prstGeom>
                  </pic:spPr>
                </pic:pic>
              </a:graphicData>
            </a:graphic>
          </wp:inline>
        </w:drawing>
      </w:r>
    </w:p>
    <w:p>
      <w:pPr>
        <w:pStyle w:val="47"/>
        <w:spacing w:line="240" w:lineRule="auto"/>
        <w:ind w:firstLine="480" w:firstLineChars="200"/>
        <w:rPr>
          <w:rFonts w:ascii="宋体" w:hAnsi="宋体" w:cs="宋体"/>
          <w:sz w:val="24"/>
        </w:rPr>
      </w:pPr>
    </w:p>
    <w:p>
      <w:pPr>
        <w:pStyle w:val="47"/>
        <w:spacing w:line="240" w:lineRule="auto"/>
        <w:jc w:val="center"/>
      </w:pPr>
    </w:p>
    <w:p>
      <w:pPr>
        <w:pStyle w:val="47"/>
        <w:spacing w:line="240" w:lineRule="auto"/>
        <w:jc w:val="center"/>
      </w:pPr>
    </w:p>
    <w:p>
      <w:pPr>
        <w:keepNext/>
        <w:keepLines/>
        <w:numPr>
          <w:ilvl w:val="0"/>
          <w:numId w:val="1"/>
        </w:numPr>
        <w:tabs>
          <w:tab w:val="left" w:pos="425"/>
        </w:tabs>
        <w:outlineLvl w:val="0"/>
        <w:rPr>
          <w:rFonts w:hint="eastAsia" w:ascii="Times New Roman" w:hAnsi="Times New Roman" w:eastAsia="宋体" w:cs="Times New Roman"/>
          <w:b/>
          <w:bCs/>
          <w:color w:val="000000" w:themeColor="text1"/>
          <w:kern w:val="44"/>
          <w:sz w:val="32"/>
          <w:szCs w:val="28"/>
          <w14:textFill>
            <w14:solidFill>
              <w14:schemeClr w14:val="tx1"/>
            </w14:solidFill>
          </w14:textFill>
        </w:rPr>
      </w:pPr>
      <w:bookmarkStart w:id="61" w:name="_Toc125985188"/>
      <w:bookmarkStart w:id="62" w:name="_Toc68061390"/>
      <w:bookmarkStart w:id="63" w:name="_Toc8830"/>
      <w:bookmarkStart w:id="64" w:name="_Toc6119"/>
      <w:bookmarkStart w:id="65" w:name="_Toc13627"/>
      <w:r>
        <w:rPr>
          <w:rFonts w:hint="eastAsia" w:ascii="Times New Roman" w:hAnsi="Times New Roman" w:eastAsia="宋体" w:cs="Times New Roman"/>
          <w:b/>
          <w:bCs/>
          <w:color w:val="000000" w:themeColor="text1"/>
          <w:kern w:val="44"/>
          <w:sz w:val="32"/>
          <w:szCs w:val="28"/>
          <w14:textFill>
            <w14:solidFill>
              <w14:schemeClr w14:val="tx1"/>
            </w14:solidFill>
          </w14:textFill>
        </w:rPr>
        <w:t>评标</w:t>
      </w:r>
      <w:bookmarkEnd w:id="61"/>
      <w:r>
        <w:rPr>
          <w:rFonts w:hint="eastAsia" w:ascii="Times New Roman" w:hAnsi="Times New Roman" w:eastAsia="宋体" w:cs="Times New Roman"/>
          <w:b/>
          <w:bCs/>
          <w:color w:val="000000" w:themeColor="text1"/>
          <w:kern w:val="44"/>
          <w:sz w:val="32"/>
          <w:szCs w:val="28"/>
          <w14:textFill>
            <w14:solidFill>
              <w14:schemeClr w14:val="tx1"/>
            </w14:solidFill>
          </w14:textFill>
        </w:rPr>
        <w:t>澄清</w:t>
      </w:r>
      <w:bookmarkEnd w:id="62"/>
      <w:bookmarkEnd w:id="63"/>
      <w:bookmarkEnd w:id="64"/>
      <w:bookmarkEnd w:id="65"/>
    </w:p>
    <w:p>
      <w:pPr>
        <w:pStyle w:val="47"/>
        <w:numPr>
          <w:ilvl w:val="0"/>
          <w:numId w:val="5"/>
        </w:numPr>
        <w:spacing w:line="240" w:lineRule="auto"/>
        <w:ind w:firstLine="481" w:firstLineChars="200"/>
        <w:rPr>
          <w:rFonts w:hint="eastAsia" w:ascii="宋体" w:hAnsi="宋体" w:cs="宋体"/>
          <w:b/>
          <w:bCs/>
          <w:sz w:val="24"/>
          <w:lang w:eastAsia="zh-CN"/>
        </w:rPr>
      </w:pPr>
      <w:r>
        <w:rPr>
          <w:rFonts w:hint="eastAsia" w:ascii="宋体" w:hAnsi="宋体" w:cs="宋体"/>
          <w:b/>
          <w:bCs/>
          <w:sz w:val="24"/>
        </w:rPr>
        <w:t>评标澄清回复</w:t>
      </w:r>
      <w:r>
        <w:rPr>
          <w:rFonts w:hint="eastAsia" w:ascii="宋体" w:hAnsi="宋体" w:cs="宋体"/>
          <w:b/>
          <w:bCs/>
          <w:sz w:val="24"/>
          <w:lang w:eastAsia="zh-CN"/>
        </w:rPr>
        <w:t>（</w:t>
      </w:r>
      <w:r>
        <w:rPr>
          <w:rFonts w:hint="eastAsia" w:ascii="宋体" w:hAnsi="宋体" w:cs="宋体"/>
          <w:b/>
          <w:bCs/>
          <w:sz w:val="24"/>
        </w:rPr>
        <w:t>投标人</w:t>
      </w:r>
      <w:r>
        <w:rPr>
          <w:rFonts w:hint="eastAsia" w:ascii="宋体" w:hAnsi="宋体" w:cs="宋体"/>
          <w:b/>
          <w:bCs/>
          <w:sz w:val="24"/>
          <w:lang w:eastAsia="zh-CN"/>
        </w:rPr>
        <w:t>）</w:t>
      </w:r>
    </w:p>
    <w:p>
      <w:pPr>
        <w:pStyle w:val="47"/>
        <w:numPr>
          <w:ilvl w:val="0"/>
          <w:numId w:val="0"/>
        </w:numPr>
        <w:spacing w:line="240" w:lineRule="auto"/>
        <w:ind w:firstLine="480" w:firstLineChars="200"/>
        <w:rPr>
          <w:rFonts w:ascii="宋体" w:hAnsi="宋体" w:cs="宋体"/>
          <w:sz w:val="24"/>
        </w:rPr>
      </w:pPr>
      <w:r>
        <w:rPr>
          <w:rFonts w:hint="eastAsia" w:ascii="宋体" w:hAnsi="宋体" w:cs="宋体"/>
          <w:sz w:val="24"/>
        </w:rPr>
        <w:t>若评委对投标单位发起评标澄清，投标单位登录交易系统，进入项目所在模块的“评标澄清回复”，在规定的时间内进行线上澄清</w:t>
      </w:r>
    </w:p>
    <w:p>
      <w:pPr>
        <w:pStyle w:val="47"/>
        <w:spacing w:line="240" w:lineRule="auto"/>
        <w:ind w:firstLine="480" w:firstLineChars="200"/>
        <w:rPr>
          <w:rFonts w:ascii="宋体" w:hAnsi="宋体" w:cs="宋体"/>
          <w:sz w:val="24"/>
        </w:rPr>
      </w:pPr>
      <w:r>
        <w:rPr>
          <w:rFonts w:hint="eastAsia" w:ascii="宋体" w:hAnsi="宋体" w:cs="宋体"/>
          <w:sz w:val="24"/>
        </w:rPr>
        <w:t>注：评标过程中各投标人应及时关注交易系统中的消息，若评标委员会向投标人发起澄清，投标人应在规定时间内做出答复，未及时澄清答复导致的后果由投标人自行承担责任。</w:t>
      </w:r>
    </w:p>
    <w:p>
      <w:pPr>
        <w:pStyle w:val="47"/>
        <w:spacing w:line="240" w:lineRule="auto"/>
        <w:ind w:firstLine="420" w:firstLineChars="200"/>
        <w:jc w:val="center"/>
        <w:rPr>
          <w:rFonts w:ascii="宋体" w:hAnsi="宋体" w:cs="宋体"/>
          <w:sz w:val="24"/>
        </w:rPr>
      </w:pPr>
      <w:r>
        <w:drawing>
          <wp:inline distT="0" distB="0" distL="114300" distR="114300">
            <wp:extent cx="3959860" cy="3343910"/>
            <wp:effectExtent l="0" t="0" r="2540" b="8890"/>
            <wp:docPr id="5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true"/>
                    </pic:cNvPicPr>
                  </pic:nvPicPr>
                  <pic:blipFill>
                    <a:blip r:embed="rId48"/>
                    <a:stretch>
                      <a:fillRect/>
                    </a:stretch>
                  </pic:blipFill>
                  <pic:spPr>
                    <a:xfrm>
                      <a:off x="0" y="0"/>
                      <a:ext cx="3960000" cy="3344400"/>
                    </a:xfrm>
                    <a:prstGeom prst="rect">
                      <a:avLst/>
                    </a:prstGeom>
                    <a:noFill/>
                    <a:ln>
                      <a:noFill/>
                    </a:ln>
                  </pic:spPr>
                </pic:pic>
              </a:graphicData>
            </a:graphic>
          </wp:inline>
        </w:drawing>
      </w:r>
    </w:p>
    <w:p>
      <w:pPr>
        <w:pStyle w:val="47"/>
        <w:spacing w:line="240" w:lineRule="auto"/>
        <w:jc w:val="center"/>
        <w:rPr>
          <w:rFonts w:ascii="宋体" w:hAnsi="宋体" w:cs="宋体"/>
          <w:sz w:val="24"/>
        </w:rPr>
      </w:pPr>
      <w:r>
        <w:drawing>
          <wp:inline distT="0" distB="0" distL="114300" distR="114300">
            <wp:extent cx="3959860" cy="1094105"/>
            <wp:effectExtent l="0" t="0" r="2540" b="0"/>
            <wp:docPr id="4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true"/>
                    </pic:cNvPicPr>
                  </pic:nvPicPr>
                  <pic:blipFill>
                    <a:blip r:embed="rId49"/>
                    <a:stretch>
                      <a:fillRect/>
                    </a:stretch>
                  </pic:blipFill>
                  <pic:spPr>
                    <a:xfrm>
                      <a:off x="0" y="0"/>
                      <a:ext cx="3960000" cy="1094400"/>
                    </a:xfrm>
                    <a:prstGeom prst="rect">
                      <a:avLst/>
                    </a:prstGeom>
                    <a:noFill/>
                    <a:ln>
                      <a:noFill/>
                    </a:ln>
                  </pic:spPr>
                </pic:pic>
              </a:graphicData>
            </a:graphic>
          </wp:inline>
        </w:drawing>
      </w:r>
    </w:p>
    <w:p>
      <w:pPr>
        <w:pStyle w:val="47"/>
        <w:numPr>
          <w:ilvl w:val="0"/>
          <w:numId w:val="5"/>
        </w:numPr>
        <w:spacing w:line="240" w:lineRule="auto"/>
        <w:ind w:left="0" w:leftChars="0" w:firstLine="481" w:firstLineChars="200"/>
        <w:rPr>
          <w:rFonts w:hint="eastAsia" w:ascii="宋体" w:hAnsi="宋体" w:cs="宋体"/>
          <w:b/>
          <w:bCs/>
          <w:sz w:val="24"/>
        </w:rPr>
      </w:pPr>
      <w:r>
        <w:rPr>
          <w:rFonts w:hint="eastAsia" w:ascii="宋体" w:hAnsi="宋体" w:cs="宋体"/>
          <w:b/>
          <w:bCs/>
          <w:sz w:val="24"/>
        </w:rPr>
        <w:t>交易服务费</w:t>
      </w:r>
    </w:p>
    <w:p>
      <w:pPr>
        <w:pStyle w:val="47"/>
        <w:numPr>
          <w:ilvl w:val="0"/>
          <w:numId w:val="0"/>
        </w:numPr>
        <w:spacing w:line="240" w:lineRule="auto"/>
        <w:ind w:firstLine="480" w:firstLineChars="200"/>
        <w:rPr>
          <w:rFonts w:ascii="宋体" w:hAnsi="宋体" w:cs="宋体"/>
          <w:sz w:val="24"/>
        </w:rPr>
      </w:pPr>
      <w:r>
        <w:rPr>
          <w:rFonts w:hint="eastAsia" w:ascii="宋体" w:hAnsi="宋体" w:cs="宋体"/>
          <w:sz w:val="24"/>
        </w:rPr>
        <w:t>交易中心生成缴纳交易服务费通知书并提交后，交易系统将以手机短信通知的形式推送至招标代理或者招标人，中标单位联系招标代理或者招标人获取相关交费信息</w:t>
      </w:r>
    </w:p>
    <w:p>
      <w:pPr>
        <w:keepNext/>
        <w:keepLines/>
        <w:numPr>
          <w:ilvl w:val="0"/>
          <w:numId w:val="1"/>
        </w:numPr>
        <w:tabs>
          <w:tab w:val="left" w:pos="425"/>
        </w:tabs>
        <w:outlineLvl w:val="0"/>
        <w:rPr>
          <w:rFonts w:ascii="Times New Roman" w:hAnsi="Times New Roman" w:eastAsia="宋体" w:cs="Times New Roman"/>
          <w:b/>
          <w:bCs/>
          <w:color w:val="000000" w:themeColor="text1"/>
          <w:kern w:val="44"/>
          <w:sz w:val="32"/>
          <w:szCs w:val="28"/>
          <w14:textFill>
            <w14:solidFill>
              <w14:schemeClr w14:val="tx1"/>
            </w14:solidFill>
          </w14:textFill>
        </w:rPr>
      </w:pPr>
      <w:bookmarkStart w:id="66" w:name="_Toc25745"/>
      <w:bookmarkStart w:id="67" w:name="_Toc25740"/>
      <w:bookmarkStart w:id="68" w:name="_Toc23709"/>
      <w:bookmarkStart w:id="69" w:name="_Toc739867957"/>
      <w:r>
        <w:rPr>
          <w:rFonts w:hint="eastAsia" w:ascii="Times New Roman" w:hAnsi="Times New Roman" w:eastAsia="宋体" w:cs="Times New Roman"/>
          <w:b/>
          <w:bCs/>
          <w:color w:val="000000" w:themeColor="text1"/>
          <w:kern w:val="44"/>
          <w:sz w:val="32"/>
          <w:szCs w:val="28"/>
          <w14:textFill>
            <w14:solidFill>
              <w14:schemeClr w14:val="tx1"/>
            </w14:solidFill>
          </w14:textFill>
        </w:rPr>
        <w:t>其他</w:t>
      </w:r>
      <w:bookmarkEnd w:id="66"/>
      <w:bookmarkEnd w:id="67"/>
      <w:bookmarkEnd w:id="68"/>
      <w:r>
        <w:rPr>
          <w:rFonts w:hint="eastAsia" w:ascii="Times New Roman" w:hAnsi="Times New Roman" w:eastAsia="宋体" w:cs="Times New Roman"/>
          <w:b/>
          <w:bCs/>
          <w:color w:val="000000" w:themeColor="text1"/>
          <w:kern w:val="44"/>
          <w:sz w:val="32"/>
          <w:szCs w:val="28"/>
          <w:lang w:eastAsia="zh-CN"/>
          <w14:textFill>
            <w14:solidFill>
              <w14:schemeClr w14:val="tx1"/>
            </w14:solidFill>
          </w14:textFill>
        </w:rPr>
        <w:t>事项</w:t>
      </w:r>
      <w:bookmarkEnd w:id="69"/>
    </w:p>
    <w:p>
      <w:pPr>
        <w:pStyle w:val="47"/>
        <w:spacing w:line="240" w:lineRule="auto"/>
        <w:ind w:firstLine="480" w:firstLineChars="200"/>
        <w:rPr>
          <w:rFonts w:ascii="宋体" w:hAnsi="宋体" w:cs="宋体"/>
          <w:sz w:val="24"/>
        </w:rPr>
      </w:pPr>
      <w:r>
        <w:rPr>
          <w:rFonts w:hint="eastAsia" w:ascii="宋体" w:hAnsi="宋体" w:cs="宋体"/>
          <w:sz w:val="24"/>
        </w:rPr>
        <w:t>1.电子保函注销：投标单位自行新增注销申请，代理审核即完成注销操作</w:t>
      </w:r>
    </w:p>
    <w:p>
      <w:pPr>
        <w:pStyle w:val="47"/>
        <w:spacing w:line="240" w:lineRule="auto"/>
        <w:ind w:firstLine="480" w:firstLineChars="200"/>
        <w:rPr>
          <w:rFonts w:ascii="宋体" w:hAnsi="宋体" w:cs="宋体"/>
          <w:sz w:val="24"/>
        </w:rPr>
      </w:pPr>
      <w:r>
        <w:rPr>
          <w:rFonts w:hint="eastAsia" w:ascii="宋体" w:hAnsi="宋体" w:cs="宋体"/>
          <w:sz w:val="24"/>
        </w:rPr>
        <w:t>2.网上提问：投标单位可在招标文件规定的答疑时间内对招标文件有疑问的地方进行提问</w:t>
      </w:r>
    </w:p>
    <w:p>
      <w:pPr>
        <w:pStyle w:val="47"/>
        <w:spacing w:line="240" w:lineRule="auto"/>
        <w:ind w:firstLine="480" w:firstLineChars="200"/>
        <w:rPr>
          <w:rFonts w:ascii="宋体" w:hAnsi="宋体" w:cs="宋体"/>
          <w:sz w:val="24"/>
        </w:rPr>
      </w:pPr>
      <w:r>
        <w:rPr>
          <w:rFonts w:hint="eastAsia" w:ascii="宋体" w:hAnsi="宋体" w:cs="宋体"/>
          <w:sz w:val="24"/>
        </w:rPr>
        <w:t>3.中标通知书：代理发布通知书后，中标单位可以在系统进行查看</w:t>
      </w:r>
    </w:p>
    <w:p>
      <w:pPr>
        <w:pStyle w:val="47"/>
        <w:spacing w:line="240" w:lineRule="auto"/>
        <w:ind w:firstLine="480" w:firstLineChars="200"/>
        <w:rPr>
          <w:rFonts w:ascii="宋体" w:hAnsi="宋体" w:cs="宋体"/>
          <w:sz w:val="24"/>
        </w:rPr>
      </w:pPr>
      <w:r>
        <w:rPr>
          <w:rFonts w:hint="eastAsia" w:ascii="宋体" w:hAnsi="宋体" w:cs="宋体"/>
          <w:sz w:val="24"/>
        </w:rPr>
        <w:t>4.投标保证金退还查询：可在该菜单查询保证金是否已退还</w:t>
      </w:r>
      <w:bookmarkEnd w:id="14"/>
      <w:bookmarkEnd w:id="15"/>
      <w:r>
        <w:rPr>
          <w:rFonts w:hint="eastAsia" w:ascii="宋体" w:hAnsi="宋体" w:cs="宋体"/>
          <w:sz w:val="24"/>
        </w:rPr>
        <w:t>。</w:t>
      </w:r>
    </w:p>
    <w:p>
      <w:pPr>
        <w:pStyle w:val="47"/>
        <w:spacing w:line="240" w:lineRule="auto"/>
        <w:ind w:firstLine="480" w:firstLineChars="200"/>
        <w:rPr>
          <w:rFonts w:ascii="宋体" w:hAnsi="宋体" w:cs="宋体"/>
          <w:sz w:val="24"/>
        </w:rPr>
      </w:pPr>
    </w:p>
    <w:p>
      <w:pPr>
        <w:pStyle w:val="47"/>
        <w:spacing w:line="240" w:lineRule="auto"/>
        <w:ind w:firstLine="480" w:firstLineChars="200"/>
        <w:rPr>
          <w:rFonts w:ascii="宋体" w:hAnsi="宋体" w:cs="宋体"/>
          <w:sz w:val="24"/>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ctionIcon ! important">
    <w:altName w:val="仿宋"/>
    <w:panose1 w:val="00000000000000000000"/>
    <w:charset w:val="00"/>
    <w:family w:val="auto"/>
    <w:pitch w:val="default"/>
    <w:sig w:usb0="00000000" w:usb1="00000000" w:usb2="00000000" w:usb3="00000000" w:csb0="00000000" w:csb1="00000000"/>
  </w:font>
  <w:font w:name="monospace">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MgtGFA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LEyC0YUAgAAGQQAAA4AAAAAAAAAAQAgAAAANQ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BE984"/>
    <w:multiLevelType w:val="singleLevel"/>
    <w:tmpl w:val="9FABE984"/>
    <w:lvl w:ilvl="0" w:tentative="0">
      <w:start w:val="1"/>
      <w:numFmt w:val="decimal"/>
      <w:suff w:val="nothing"/>
      <w:lvlText w:val="%1、"/>
      <w:lvlJc w:val="left"/>
    </w:lvl>
  </w:abstractNum>
  <w:abstractNum w:abstractNumId="1">
    <w:nsid w:val="AEF83C3E"/>
    <w:multiLevelType w:val="singleLevel"/>
    <w:tmpl w:val="AEF83C3E"/>
    <w:lvl w:ilvl="0" w:tentative="0">
      <w:start w:val="1"/>
      <w:numFmt w:val="decimal"/>
      <w:suff w:val="nothing"/>
      <w:lvlText w:val="%1、"/>
      <w:lvlJc w:val="left"/>
    </w:lvl>
  </w:abstractNum>
  <w:abstractNum w:abstractNumId="2">
    <w:nsid w:val="BFDB4B48"/>
    <w:multiLevelType w:val="singleLevel"/>
    <w:tmpl w:val="BFDB4B48"/>
    <w:lvl w:ilvl="0" w:tentative="0">
      <w:start w:val="1"/>
      <w:numFmt w:val="decimal"/>
      <w:suff w:val="nothing"/>
      <w:lvlText w:val="%1、"/>
      <w:lvlJc w:val="left"/>
    </w:lvl>
  </w:abstractNum>
  <w:abstractNum w:abstractNumId="3">
    <w:nsid w:val="FFC716DC"/>
    <w:multiLevelType w:val="singleLevel"/>
    <w:tmpl w:val="FFC716DC"/>
    <w:lvl w:ilvl="0" w:tentative="0">
      <w:start w:val="1"/>
      <w:numFmt w:val="decimal"/>
      <w:suff w:val="nothing"/>
      <w:lvlText w:val="（%1）"/>
      <w:lvlJc w:val="left"/>
    </w:lvl>
  </w:abstractNum>
  <w:abstractNum w:abstractNumId="4">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5"/>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YzE0YzBhOTVhMjZmNmM5Y2RiZGY0MDJlMDNkZDcifQ=="/>
  </w:docVars>
  <w:rsids>
    <w:rsidRoot w:val="00BA0993"/>
    <w:rsid w:val="000046D5"/>
    <w:rsid w:val="00022B55"/>
    <w:rsid w:val="0003422B"/>
    <w:rsid w:val="00143961"/>
    <w:rsid w:val="00187C7B"/>
    <w:rsid w:val="001A1F60"/>
    <w:rsid w:val="001E28FF"/>
    <w:rsid w:val="001F4968"/>
    <w:rsid w:val="002637EC"/>
    <w:rsid w:val="002E3440"/>
    <w:rsid w:val="003064C6"/>
    <w:rsid w:val="00386048"/>
    <w:rsid w:val="003A560B"/>
    <w:rsid w:val="003F0C45"/>
    <w:rsid w:val="004208F9"/>
    <w:rsid w:val="004478DF"/>
    <w:rsid w:val="00467200"/>
    <w:rsid w:val="00473E10"/>
    <w:rsid w:val="004743EE"/>
    <w:rsid w:val="0047452F"/>
    <w:rsid w:val="00493D5E"/>
    <w:rsid w:val="004B35EF"/>
    <w:rsid w:val="00503621"/>
    <w:rsid w:val="00556C39"/>
    <w:rsid w:val="00570D01"/>
    <w:rsid w:val="00587C9D"/>
    <w:rsid w:val="005A44E9"/>
    <w:rsid w:val="005E236C"/>
    <w:rsid w:val="005E324C"/>
    <w:rsid w:val="005E65AD"/>
    <w:rsid w:val="005F6495"/>
    <w:rsid w:val="00602117"/>
    <w:rsid w:val="006153FE"/>
    <w:rsid w:val="00622C0E"/>
    <w:rsid w:val="0067773A"/>
    <w:rsid w:val="006A01C8"/>
    <w:rsid w:val="006C3458"/>
    <w:rsid w:val="006F2E40"/>
    <w:rsid w:val="006F73EC"/>
    <w:rsid w:val="00705587"/>
    <w:rsid w:val="00732362"/>
    <w:rsid w:val="007452FA"/>
    <w:rsid w:val="00755B02"/>
    <w:rsid w:val="0075774F"/>
    <w:rsid w:val="00771E91"/>
    <w:rsid w:val="00780120"/>
    <w:rsid w:val="007A7C1F"/>
    <w:rsid w:val="007C337E"/>
    <w:rsid w:val="00814A1B"/>
    <w:rsid w:val="00821840"/>
    <w:rsid w:val="008745B9"/>
    <w:rsid w:val="0087683C"/>
    <w:rsid w:val="00882388"/>
    <w:rsid w:val="0089551A"/>
    <w:rsid w:val="008A6684"/>
    <w:rsid w:val="008E7857"/>
    <w:rsid w:val="008F6C28"/>
    <w:rsid w:val="00915664"/>
    <w:rsid w:val="0096514B"/>
    <w:rsid w:val="00974E8B"/>
    <w:rsid w:val="00994B8A"/>
    <w:rsid w:val="009A073B"/>
    <w:rsid w:val="009E1EE7"/>
    <w:rsid w:val="00A00664"/>
    <w:rsid w:val="00A53CBD"/>
    <w:rsid w:val="00A55940"/>
    <w:rsid w:val="00A83A59"/>
    <w:rsid w:val="00A97EE5"/>
    <w:rsid w:val="00AB4E12"/>
    <w:rsid w:val="00AC399B"/>
    <w:rsid w:val="00AE3C1E"/>
    <w:rsid w:val="00AE688B"/>
    <w:rsid w:val="00B92B3A"/>
    <w:rsid w:val="00BA0993"/>
    <w:rsid w:val="00BA2E27"/>
    <w:rsid w:val="00BB57FB"/>
    <w:rsid w:val="00BD44D3"/>
    <w:rsid w:val="00C04904"/>
    <w:rsid w:val="00C06C88"/>
    <w:rsid w:val="00C60424"/>
    <w:rsid w:val="00C707B8"/>
    <w:rsid w:val="00CC13C0"/>
    <w:rsid w:val="00D07F17"/>
    <w:rsid w:val="00D31C58"/>
    <w:rsid w:val="00D441BB"/>
    <w:rsid w:val="00D47093"/>
    <w:rsid w:val="00D73FF0"/>
    <w:rsid w:val="00D779B5"/>
    <w:rsid w:val="00D93811"/>
    <w:rsid w:val="00D93D22"/>
    <w:rsid w:val="00DC727E"/>
    <w:rsid w:val="00DD44AE"/>
    <w:rsid w:val="00DD65F0"/>
    <w:rsid w:val="00E12683"/>
    <w:rsid w:val="00F26CE7"/>
    <w:rsid w:val="00F73E10"/>
    <w:rsid w:val="00F76951"/>
    <w:rsid w:val="00F86DE1"/>
    <w:rsid w:val="00FB04F8"/>
    <w:rsid w:val="00FB412A"/>
    <w:rsid w:val="00FC1842"/>
    <w:rsid w:val="00FC7D5B"/>
    <w:rsid w:val="00FE514D"/>
    <w:rsid w:val="018450D5"/>
    <w:rsid w:val="01E427B1"/>
    <w:rsid w:val="02F00A18"/>
    <w:rsid w:val="032C4E8C"/>
    <w:rsid w:val="04673D9F"/>
    <w:rsid w:val="04D42AAB"/>
    <w:rsid w:val="04E76AA6"/>
    <w:rsid w:val="05A42949"/>
    <w:rsid w:val="077619C1"/>
    <w:rsid w:val="07AC1F33"/>
    <w:rsid w:val="07C10826"/>
    <w:rsid w:val="088E2A01"/>
    <w:rsid w:val="09376339"/>
    <w:rsid w:val="096841CA"/>
    <w:rsid w:val="097B0B7E"/>
    <w:rsid w:val="09BF339B"/>
    <w:rsid w:val="09CE4F7E"/>
    <w:rsid w:val="0A61573C"/>
    <w:rsid w:val="0BC3400A"/>
    <w:rsid w:val="0C3D4DEF"/>
    <w:rsid w:val="0F2A0D9B"/>
    <w:rsid w:val="10DC63C8"/>
    <w:rsid w:val="11245456"/>
    <w:rsid w:val="11A46C3F"/>
    <w:rsid w:val="122160E2"/>
    <w:rsid w:val="12731B93"/>
    <w:rsid w:val="1378002E"/>
    <w:rsid w:val="137B00F0"/>
    <w:rsid w:val="150C7E6E"/>
    <w:rsid w:val="150F3DEE"/>
    <w:rsid w:val="15A714A2"/>
    <w:rsid w:val="15DC4F2E"/>
    <w:rsid w:val="162A59B3"/>
    <w:rsid w:val="17393F01"/>
    <w:rsid w:val="176C7E2C"/>
    <w:rsid w:val="179E7916"/>
    <w:rsid w:val="19DE58E2"/>
    <w:rsid w:val="19E51027"/>
    <w:rsid w:val="1AA17E76"/>
    <w:rsid w:val="1AE84BE7"/>
    <w:rsid w:val="1D5400CC"/>
    <w:rsid w:val="1D7942D2"/>
    <w:rsid w:val="1DCA6AD1"/>
    <w:rsid w:val="1E1F2543"/>
    <w:rsid w:val="1E8A4908"/>
    <w:rsid w:val="1E905823"/>
    <w:rsid w:val="1EAD26FD"/>
    <w:rsid w:val="1EC85837"/>
    <w:rsid w:val="1F2160C4"/>
    <w:rsid w:val="1F4F4BD2"/>
    <w:rsid w:val="1F6249DA"/>
    <w:rsid w:val="20922D77"/>
    <w:rsid w:val="20C413FA"/>
    <w:rsid w:val="22006BEB"/>
    <w:rsid w:val="220D4DD5"/>
    <w:rsid w:val="22911B36"/>
    <w:rsid w:val="23053D5B"/>
    <w:rsid w:val="24D52D2B"/>
    <w:rsid w:val="25077338"/>
    <w:rsid w:val="25287DC2"/>
    <w:rsid w:val="25FA0F65"/>
    <w:rsid w:val="26161BA2"/>
    <w:rsid w:val="27DB17FB"/>
    <w:rsid w:val="287A5E0A"/>
    <w:rsid w:val="287B3BA1"/>
    <w:rsid w:val="28940C5A"/>
    <w:rsid w:val="28EC7EDD"/>
    <w:rsid w:val="29763DF1"/>
    <w:rsid w:val="29A206EB"/>
    <w:rsid w:val="29A3473A"/>
    <w:rsid w:val="2A5C3A3B"/>
    <w:rsid w:val="2A6C3C54"/>
    <w:rsid w:val="2A7B602E"/>
    <w:rsid w:val="2BE36C60"/>
    <w:rsid w:val="2C32033A"/>
    <w:rsid w:val="2D2D2B9A"/>
    <w:rsid w:val="2EFA0ABB"/>
    <w:rsid w:val="2F6C3721"/>
    <w:rsid w:val="2F7D2448"/>
    <w:rsid w:val="300761B5"/>
    <w:rsid w:val="30FE3124"/>
    <w:rsid w:val="3134176A"/>
    <w:rsid w:val="31B934DF"/>
    <w:rsid w:val="331E21EA"/>
    <w:rsid w:val="33923056"/>
    <w:rsid w:val="33AC2A72"/>
    <w:rsid w:val="33F50B9C"/>
    <w:rsid w:val="34A53446"/>
    <w:rsid w:val="34AA2E47"/>
    <w:rsid w:val="350F73E8"/>
    <w:rsid w:val="352A2B85"/>
    <w:rsid w:val="37246325"/>
    <w:rsid w:val="37F36603"/>
    <w:rsid w:val="384B1867"/>
    <w:rsid w:val="39924114"/>
    <w:rsid w:val="3AA615F1"/>
    <w:rsid w:val="3AC45E72"/>
    <w:rsid w:val="3B0F526C"/>
    <w:rsid w:val="3B8E3258"/>
    <w:rsid w:val="3C954D06"/>
    <w:rsid w:val="3CA7071D"/>
    <w:rsid w:val="3CA803D8"/>
    <w:rsid w:val="3CC82F2C"/>
    <w:rsid w:val="3D2F3AC6"/>
    <w:rsid w:val="3DFD7F6F"/>
    <w:rsid w:val="3FFF21B1"/>
    <w:rsid w:val="40402241"/>
    <w:rsid w:val="40B33254"/>
    <w:rsid w:val="41581F25"/>
    <w:rsid w:val="41C9151C"/>
    <w:rsid w:val="423C1652"/>
    <w:rsid w:val="4424314A"/>
    <w:rsid w:val="44507084"/>
    <w:rsid w:val="44C804A0"/>
    <w:rsid w:val="44D01E0B"/>
    <w:rsid w:val="45AC03F8"/>
    <w:rsid w:val="4637481C"/>
    <w:rsid w:val="465224B1"/>
    <w:rsid w:val="46ED3615"/>
    <w:rsid w:val="47444F8C"/>
    <w:rsid w:val="47535F40"/>
    <w:rsid w:val="48FE3E06"/>
    <w:rsid w:val="496A3686"/>
    <w:rsid w:val="4B057175"/>
    <w:rsid w:val="4B7414DB"/>
    <w:rsid w:val="4CDE5901"/>
    <w:rsid w:val="4DCE3E0D"/>
    <w:rsid w:val="4EC00297"/>
    <w:rsid w:val="4F4D52C3"/>
    <w:rsid w:val="50CC3BF1"/>
    <w:rsid w:val="526002F2"/>
    <w:rsid w:val="52C16754"/>
    <w:rsid w:val="5380356D"/>
    <w:rsid w:val="5473746C"/>
    <w:rsid w:val="54D321CD"/>
    <w:rsid w:val="54D35C1C"/>
    <w:rsid w:val="551763E9"/>
    <w:rsid w:val="551C3527"/>
    <w:rsid w:val="55721B0D"/>
    <w:rsid w:val="55896605"/>
    <w:rsid w:val="55C922F7"/>
    <w:rsid w:val="56E583C4"/>
    <w:rsid w:val="57ED7E5A"/>
    <w:rsid w:val="57FD7D2F"/>
    <w:rsid w:val="585777DA"/>
    <w:rsid w:val="588D679B"/>
    <w:rsid w:val="58A87D16"/>
    <w:rsid w:val="58B44FC5"/>
    <w:rsid w:val="5BA109BC"/>
    <w:rsid w:val="5DEDB375"/>
    <w:rsid w:val="5EF54CCE"/>
    <w:rsid w:val="5F1B0EDC"/>
    <w:rsid w:val="5F4D5E87"/>
    <w:rsid w:val="5FFC1890"/>
    <w:rsid w:val="605E7163"/>
    <w:rsid w:val="60C0483C"/>
    <w:rsid w:val="6164600B"/>
    <w:rsid w:val="61AD3862"/>
    <w:rsid w:val="628E1C9B"/>
    <w:rsid w:val="632B4938"/>
    <w:rsid w:val="63491625"/>
    <w:rsid w:val="63F818D5"/>
    <w:rsid w:val="646F64A9"/>
    <w:rsid w:val="64752769"/>
    <w:rsid w:val="6693550B"/>
    <w:rsid w:val="66F54F23"/>
    <w:rsid w:val="670F364C"/>
    <w:rsid w:val="678F628F"/>
    <w:rsid w:val="67E647BE"/>
    <w:rsid w:val="686A05B3"/>
    <w:rsid w:val="686F0B55"/>
    <w:rsid w:val="689F5DD7"/>
    <w:rsid w:val="69871669"/>
    <w:rsid w:val="69D60E81"/>
    <w:rsid w:val="69DB300B"/>
    <w:rsid w:val="6A076735"/>
    <w:rsid w:val="6A143AC3"/>
    <w:rsid w:val="6A3223D6"/>
    <w:rsid w:val="6A6F5CB1"/>
    <w:rsid w:val="6AD21E6E"/>
    <w:rsid w:val="6AFC3B0D"/>
    <w:rsid w:val="6B3477C6"/>
    <w:rsid w:val="6B9076FC"/>
    <w:rsid w:val="6EBD6071"/>
    <w:rsid w:val="6F5E2595"/>
    <w:rsid w:val="7016268B"/>
    <w:rsid w:val="70A61026"/>
    <w:rsid w:val="70C94161"/>
    <w:rsid w:val="70FA2079"/>
    <w:rsid w:val="72E621AC"/>
    <w:rsid w:val="72F145D4"/>
    <w:rsid w:val="737D387F"/>
    <w:rsid w:val="73E62295"/>
    <w:rsid w:val="73EF3521"/>
    <w:rsid w:val="74845C34"/>
    <w:rsid w:val="74C5589B"/>
    <w:rsid w:val="751A5610"/>
    <w:rsid w:val="756D5397"/>
    <w:rsid w:val="75901E34"/>
    <w:rsid w:val="76F15606"/>
    <w:rsid w:val="77495B6E"/>
    <w:rsid w:val="77710C55"/>
    <w:rsid w:val="777F7FDF"/>
    <w:rsid w:val="77FBF2F4"/>
    <w:rsid w:val="786B44CE"/>
    <w:rsid w:val="78E61F1F"/>
    <w:rsid w:val="78EE3DE8"/>
    <w:rsid w:val="7BA27DC6"/>
    <w:rsid w:val="7C1E01D6"/>
    <w:rsid w:val="7C4D42B1"/>
    <w:rsid w:val="7D551323"/>
    <w:rsid w:val="7E0B727F"/>
    <w:rsid w:val="7E0D783A"/>
    <w:rsid w:val="7E69F015"/>
    <w:rsid w:val="7E9E3805"/>
    <w:rsid w:val="7EC820F5"/>
    <w:rsid w:val="7EDD2876"/>
    <w:rsid w:val="7F17F01F"/>
    <w:rsid w:val="7F8871BD"/>
    <w:rsid w:val="9CEF0119"/>
    <w:rsid w:val="B6DF32F3"/>
    <w:rsid w:val="DFFFCBE5"/>
    <w:rsid w:val="EB3EDC07"/>
    <w:rsid w:val="EFFDC54D"/>
    <w:rsid w:val="F979ED38"/>
    <w:rsid w:val="FBECD3CE"/>
    <w:rsid w:val="FBF5009D"/>
    <w:rsid w:val="FDF54C9B"/>
    <w:rsid w:val="FEB30A37"/>
    <w:rsid w:val="FF6F5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keepNext/>
      <w:keepLines/>
      <w:numPr>
        <w:ilvl w:val="0"/>
        <w:numId w:val="1"/>
      </w:numPr>
      <w:tabs>
        <w:tab w:val="left" w:pos="425"/>
      </w:tabs>
      <w:spacing w:before="120" w:after="120" w:line="360" w:lineRule="auto"/>
      <w:outlineLvl w:val="0"/>
    </w:pPr>
    <w:rPr>
      <w:rFonts w:ascii="Times New Roman" w:hAnsi="Times New Roman" w:eastAsia="宋体" w:cs="Times New Roman"/>
      <w:b/>
      <w:bCs/>
      <w:kern w:val="44"/>
      <w:sz w:val="32"/>
      <w:szCs w:val="28"/>
    </w:rPr>
  </w:style>
  <w:style w:type="paragraph" w:styleId="3">
    <w:name w:val="heading 2"/>
    <w:basedOn w:val="1"/>
    <w:next w:val="1"/>
    <w:link w:val="39"/>
    <w:qFormat/>
    <w:uiPriority w:val="0"/>
    <w:pPr>
      <w:tabs>
        <w:tab w:val="left" w:pos="567"/>
      </w:tabs>
      <w:outlineLvl w:val="1"/>
    </w:pPr>
    <w:rPr>
      <w:sz w:val="30"/>
    </w:rPr>
  </w:style>
  <w:style w:type="paragraph" w:styleId="4">
    <w:name w:val="heading 3"/>
    <w:basedOn w:val="1"/>
    <w:next w:val="1"/>
    <w:link w:val="40"/>
    <w:qFormat/>
    <w:uiPriority w:val="0"/>
    <w:pPr>
      <w:keepNext/>
      <w:keepLines/>
      <w:numPr>
        <w:ilvl w:val="2"/>
        <w:numId w:val="1"/>
      </w:numPr>
      <w:tabs>
        <w:tab w:val="left" w:pos="567"/>
      </w:tabs>
      <w:spacing w:before="120" w:after="120" w:line="360" w:lineRule="auto"/>
      <w:outlineLvl w:val="2"/>
    </w:pPr>
    <w:rPr>
      <w:rFonts w:ascii="Times New Roman" w:hAnsi="Times New Roman" w:eastAsia="宋体" w:cs="Times New Roman"/>
      <w:b/>
      <w:bCs/>
      <w:sz w:val="28"/>
      <w:szCs w:val="18"/>
    </w:rPr>
  </w:style>
  <w:style w:type="paragraph" w:styleId="5">
    <w:name w:val="heading 4"/>
    <w:basedOn w:val="1"/>
    <w:next w:val="1"/>
    <w:link w:val="41"/>
    <w:qFormat/>
    <w:uiPriority w:val="0"/>
    <w:pPr>
      <w:keepNext/>
      <w:keepLines/>
      <w:numPr>
        <w:ilvl w:val="3"/>
        <w:numId w:val="1"/>
      </w:numPr>
      <w:tabs>
        <w:tab w:val="left" w:pos="504"/>
      </w:tabs>
      <w:spacing w:before="120" w:after="120" w:line="360" w:lineRule="auto"/>
      <w:jc w:val="left"/>
      <w:outlineLvl w:val="3"/>
    </w:pPr>
    <w:rPr>
      <w:rFonts w:ascii="Times New Roman" w:hAnsi="Arial" w:eastAsia="宋体" w:cs="Times New Roman"/>
      <w:b/>
      <w:bCs/>
      <w:sz w:val="24"/>
      <w:szCs w:val="28"/>
    </w:rPr>
  </w:style>
  <w:style w:type="paragraph" w:styleId="6">
    <w:name w:val="heading 5"/>
    <w:basedOn w:val="1"/>
    <w:next w:val="1"/>
    <w:link w:val="42"/>
    <w:qFormat/>
    <w:uiPriority w:val="0"/>
    <w:pPr>
      <w:keepNext/>
      <w:keepLines/>
      <w:numPr>
        <w:ilvl w:val="4"/>
        <w:numId w:val="1"/>
      </w:numPr>
      <w:spacing w:before="280" w:after="290" w:line="372" w:lineRule="auto"/>
      <w:ind w:firstLine="0"/>
      <w:jc w:val="left"/>
      <w:outlineLvl w:val="4"/>
    </w:pPr>
    <w:rPr>
      <w:rFonts w:ascii="Times New Roman" w:hAnsi="Times New Roman" w:eastAsia="宋体" w:cs="Times New Roman"/>
      <w:b/>
      <w:bCs/>
      <w:sz w:val="28"/>
      <w:szCs w:val="28"/>
    </w:rPr>
  </w:style>
  <w:style w:type="paragraph" w:styleId="7">
    <w:name w:val="heading 6"/>
    <w:basedOn w:val="6"/>
    <w:next w:val="1"/>
    <w:link w:val="43"/>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44"/>
    <w:qFormat/>
    <w:uiPriority w:val="0"/>
    <w:pPr>
      <w:numPr>
        <w:ilvl w:val="6"/>
      </w:numPr>
      <w:tabs>
        <w:tab w:val="left" w:pos="1800"/>
        <w:tab w:val="clear" w:pos="1440"/>
      </w:tabs>
      <w:outlineLvl w:val="6"/>
    </w:pPr>
  </w:style>
  <w:style w:type="paragraph" w:styleId="9">
    <w:name w:val="heading 8"/>
    <w:basedOn w:val="8"/>
    <w:next w:val="1"/>
    <w:link w:val="45"/>
    <w:qFormat/>
    <w:uiPriority w:val="0"/>
    <w:pPr>
      <w:numPr>
        <w:ilvl w:val="7"/>
      </w:numPr>
      <w:outlineLvl w:val="7"/>
    </w:pPr>
  </w:style>
  <w:style w:type="paragraph" w:styleId="10">
    <w:name w:val="heading 9"/>
    <w:basedOn w:val="9"/>
    <w:next w:val="1"/>
    <w:link w:val="46"/>
    <w:qFormat/>
    <w:uiPriority w:val="0"/>
    <w:pPr>
      <w:numPr>
        <w:ilvl w:val="8"/>
      </w:numPr>
      <w:tabs>
        <w:tab w:val="left" w:pos="2160"/>
        <w:tab w:val="clear" w:pos="1800"/>
      </w:tabs>
      <w:outlineLvl w:val="8"/>
    </w:p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semiHidden/>
    <w:unhideWhenUsed/>
    <w:qFormat/>
    <w:uiPriority w:val="39"/>
    <w:pPr>
      <w:ind w:left="840" w:leftChars="400"/>
    </w:pPr>
  </w:style>
  <w:style w:type="paragraph" w:styleId="13">
    <w:name w:val="Balloon Text"/>
    <w:basedOn w:val="1"/>
    <w:link w:val="37"/>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1">
    <w:name w:val="Strong"/>
    <w:basedOn w:val="20"/>
    <w:qFormat/>
    <w:uiPriority w:val="22"/>
    <w:rPr>
      <w:b/>
    </w:rPr>
  </w:style>
  <w:style w:type="character" w:styleId="22">
    <w:name w:val="FollowedHyperlink"/>
    <w:basedOn w:val="20"/>
    <w:unhideWhenUsed/>
    <w:qFormat/>
    <w:uiPriority w:val="99"/>
    <w:rPr>
      <w:color w:val="800080"/>
      <w:u w:val="none"/>
    </w:rPr>
  </w:style>
  <w:style w:type="character" w:styleId="23">
    <w:name w:val="Emphasis"/>
    <w:basedOn w:val="20"/>
    <w:qFormat/>
    <w:uiPriority w:val="20"/>
    <w:rPr>
      <w:rFonts w:ascii="ActionIcon ! important" w:hAnsi="ActionIcon ! important" w:eastAsia="ActionIcon ! important" w:cs="ActionIcon ! important"/>
      <w:b/>
      <w:vanish/>
      <w:color w:val="3D4B62"/>
      <w:sz w:val="24"/>
      <w:szCs w:val="24"/>
    </w:rPr>
  </w:style>
  <w:style w:type="character" w:styleId="24">
    <w:name w:val="HTML Definition"/>
    <w:basedOn w:val="20"/>
    <w:unhideWhenUsed/>
    <w:qFormat/>
    <w:uiPriority w:val="99"/>
  </w:style>
  <w:style w:type="character" w:styleId="25">
    <w:name w:val="HTML Typewriter"/>
    <w:basedOn w:val="20"/>
    <w:unhideWhenUsed/>
    <w:qFormat/>
    <w:uiPriority w:val="99"/>
    <w:rPr>
      <w:rFonts w:hint="default" w:ascii="monospace" w:hAnsi="monospace" w:eastAsia="monospace" w:cs="monospace"/>
      <w:sz w:val="20"/>
    </w:rPr>
  </w:style>
  <w:style w:type="character" w:styleId="26">
    <w:name w:val="HTML Acronym"/>
    <w:basedOn w:val="20"/>
    <w:unhideWhenUsed/>
    <w:qFormat/>
    <w:uiPriority w:val="99"/>
  </w:style>
  <w:style w:type="character" w:styleId="27">
    <w:name w:val="HTML Variable"/>
    <w:basedOn w:val="20"/>
    <w:unhideWhenUsed/>
    <w:qFormat/>
    <w:uiPriority w:val="99"/>
  </w:style>
  <w:style w:type="character" w:styleId="28">
    <w:name w:val="Hyperlink"/>
    <w:qFormat/>
    <w:uiPriority w:val="99"/>
    <w:rPr>
      <w:color w:val="0000FF"/>
      <w:u w:val="single"/>
    </w:rPr>
  </w:style>
  <w:style w:type="character" w:styleId="29">
    <w:name w:val="HTML Code"/>
    <w:basedOn w:val="20"/>
    <w:unhideWhenUsed/>
    <w:qFormat/>
    <w:uiPriority w:val="99"/>
    <w:rPr>
      <w:rFonts w:ascii="monospace" w:hAnsi="monospace" w:eastAsia="monospace" w:cs="monospace"/>
      <w:sz w:val="20"/>
    </w:rPr>
  </w:style>
  <w:style w:type="character" w:styleId="30">
    <w:name w:val="annotation reference"/>
    <w:basedOn w:val="20"/>
    <w:semiHidden/>
    <w:unhideWhenUsed/>
    <w:qFormat/>
    <w:uiPriority w:val="99"/>
    <w:rPr>
      <w:sz w:val="21"/>
      <w:szCs w:val="21"/>
    </w:rPr>
  </w:style>
  <w:style w:type="character" w:styleId="31">
    <w:name w:val="HTML Cite"/>
    <w:basedOn w:val="20"/>
    <w:unhideWhenUsed/>
    <w:qFormat/>
    <w:uiPriority w:val="99"/>
  </w:style>
  <w:style w:type="character" w:styleId="32">
    <w:name w:val="HTML Keyboard"/>
    <w:basedOn w:val="20"/>
    <w:unhideWhenUsed/>
    <w:qFormat/>
    <w:uiPriority w:val="99"/>
    <w:rPr>
      <w:rFonts w:hint="default" w:ascii="monospace" w:hAnsi="monospace" w:eastAsia="monospace" w:cs="monospace"/>
      <w:sz w:val="20"/>
    </w:rPr>
  </w:style>
  <w:style w:type="character" w:styleId="33">
    <w:name w:val="HTML Sample"/>
    <w:basedOn w:val="20"/>
    <w:unhideWhenUsed/>
    <w:qFormat/>
    <w:uiPriority w:val="99"/>
    <w:rPr>
      <w:rFonts w:hint="default" w:ascii="monospace" w:hAnsi="monospace" w:eastAsia="monospace" w:cs="monospace"/>
    </w:rPr>
  </w:style>
  <w:style w:type="paragraph" w:customStyle="1" w:styleId="34">
    <w:name w:val="Indent Normal"/>
    <w:basedOn w:val="1"/>
    <w:qFormat/>
    <w:uiPriority w:val="0"/>
    <w:pPr>
      <w:spacing w:line="360" w:lineRule="auto"/>
      <w:ind w:firstLine="150" w:firstLineChars="150"/>
      <w:jc w:val="left"/>
    </w:pPr>
    <w:rPr>
      <w:rFonts w:ascii="Times New Roman" w:hAnsi="Times New Roman" w:eastAsia="宋体" w:cs="Times New Roman"/>
      <w:sz w:val="24"/>
      <w:szCs w:val="24"/>
    </w:rPr>
  </w:style>
  <w:style w:type="character" w:customStyle="1" w:styleId="35">
    <w:name w:val="页眉 Char"/>
    <w:basedOn w:val="20"/>
    <w:link w:val="15"/>
    <w:qFormat/>
    <w:uiPriority w:val="99"/>
    <w:rPr>
      <w:sz w:val="18"/>
      <w:szCs w:val="18"/>
    </w:rPr>
  </w:style>
  <w:style w:type="character" w:customStyle="1" w:styleId="36">
    <w:name w:val="页脚 Char"/>
    <w:basedOn w:val="20"/>
    <w:link w:val="14"/>
    <w:qFormat/>
    <w:uiPriority w:val="99"/>
    <w:rPr>
      <w:sz w:val="18"/>
      <w:szCs w:val="18"/>
    </w:rPr>
  </w:style>
  <w:style w:type="character" w:customStyle="1" w:styleId="37">
    <w:name w:val="批注框文本 Char"/>
    <w:basedOn w:val="20"/>
    <w:link w:val="13"/>
    <w:semiHidden/>
    <w:qFormat/>
    <w:uiPriority w:val="99"/>
    <w:rPr>
      <w:sz w:val="18"/>
      <w:szCs w:val="18"/>
    </w:rPr>
  </w:style>
  <w:style w:type="character" w:customStyle="1" w:styleId="38">
    <w:name w:val="标题 1 Char"/>
    <w:basedOn w:val="20"/>
    <w:link w:val="2"/>
    <w:qFormat/>
    <w:uiPriority w:val="0"/>
    <w:rPr>
      <w:rFonts w:ascii="Times New Roman" w:hAnsi="Times New Roman" w:eastAsia="宋体" w:cs="Times New Roman"/>
      <w:b/>
      <w:bCs/>
      <w:kern w:val="44"/>
      <w:sz w:val="32"/>
      <w:szCs w:val="28"/>
    </w:rPr>
  </w:style>
  <w:style w:type="character" w:customStyle="1" w:styleId="39">
    <w:name w:val="标题 2 Char"/>
    <w:basedOn w:val="20"/>
    <w:link w:val="3"/>
    <w:qFormat/>
    <w:uiPriority w:val="0"/>
    <w:rPr>
      <w:rFonts w:ascii="Times New Roman" w:hAnsi="Times New Roman" w:eastAsia="宋体" w:cs="Times New Roman"/>
      <w:b/>
      <w:bCs/>
      <w:sz w:val="30"/>
      <w:szCs w:val="18"/>
    </w:rPr>
  </w:style>
  <w:style w:type="character" w:customStyle="1" w:styleId="40">
    <w:name w:val="标题 3 Char"/>
    <w:basedOn w:val="20"/>
    <w:link w:val="4"/>
    <w:qFormat/>
    <w:uiPriority w:val="0"/>
    <w:rPr>
      <w:rFonts w:ascii="Times New Roman" w:hAnsi="Times New Roman" w:eastAsia="宋体" w:cs="Times New Roman"/>
      <w:b/>
      <w:bCs/>
      <w:sz w:val="28"/>
      <w:szCs w:val="18"/>
    </w:rPr>
  </w:style>
  <w:style w:type="character" w:customStyle="1" w:styleId="41">
    <w:name w:val="标题 4 Char"/>
    <w:basedOn w:val="20"/>
    <w:link w:val="5"/>
    <w:qFormat/>
    <w:uiPriority w:val="0"/>
    <w:rPr>
      <w:rFonts w:ascii="Times New Roman" w:hAnsi="Arial" w:eastAsia="宋体" w:cs="Times New Roman"/>
      <w:b/>
      <w:bCs/>
      <w:sz w:val="24"/>
      <w:szCs w:val="28"/>
    </w:rPr>
  </w:style>
  <w:style w:type="character" w:customStyle="1" w:styleId="42">
    <w:name w:val="标题 5 Char"/>
    <w:basedOn w:val="20"/>
    <w:link w:val="6"/>
    <w:qFormat/>
    <w:uiPriority w:val="0"/>
    <w:rPr>
      <w:rFonts w:ascii="Times New Roman" w:hAnsi="Times New Roman" w:eastAsia="宋体" w:cs="Times New Roman"/>
      <w:b/>
      <w:bCs/>
      <w:sz w:val="28"/>
      <w:szCs w:val="28"/>
    </w:rPr>
  </w:style>
  <w:style w:type="character" w:customStyle="1" w:styleId="43">
    <w:name w:val="标题 6 Char"/>
    <w:basedOn w:val="20"/>
    <w:link w:val="7"/>
    <w:qFormat/>
    <w:uiPriority w:val="0"/>
    <w:rPr>
      <w:rFonts w:ascii="Times New Roman" w:hAnsi="Times New Roman" w:eastAsia="宋体" w:cs="Times New Roman"/>
      <w:b/>
      <w:bCs/>
      <w:sz w:val="30"/>
      <w:szCs w:val="18"/>
    </w:rPr>
  </w:style>
  <w:style w:type="character" w:customStyle="1" w:styleId="44">
    <w:name w:val="标题 7 Char"/>
    <w:basedOn w:val="20"/>
    <w:link w:val="8"/>
    <w:qFormat/>
    <w:uiPriority w:val="0"/>
    <w:rPr>
      <w:rFonts w:ascii="Times New Roman" w:hAnsi="Times New Roman" w:eastAsia="宋体" w:cs="Times New Roman"/>
      <w:b/>
      <w:bCs/>
      <w:sz w:val="30"/>
      <w:szCs w:val="18"/>
    </w:rPr>
  </w:style>
  <w:style w:type="character" w:customStyle="1" w:styleId="45">
    <w:name w:val="标题 8 Char"/>
    <w:basedOn w:val="20"/>
    <w:link w:val="9"/>
    <w:qFormat/>
    <w:uiPriority w:val="0"/>
    <w:rPr>
      <w:rFonts w:ascii="Times New Roman" w:hAnsi="Times New Roman" w:eastAsia="宋体" w:cs="Times New Roman"/>
      <w:b/>
      <w:bCs/>
      <w:sz w:val="30"/>
      <w:szCs w:val="18"/>
    </w:rPr>
  </w:style>
  <w:style w:type="character" w:customStyle="1" w:styleId="46">
    <w:name w:val="标题 9 Char"/>
    <w:basedOn w:val="20"/>
    <w:link w:val="10"/>
    <w:qFormat/>
    <w:uiPriority w:val="0"/>
    <w:rPr>
      <w:rFonts w:ascii="Times New Roman" w:hAnsi="Times New Roman" w:eastAsia="宋体" w:cs="Times New Roman"/>
      <w:b/>
      <w:bCs/>
      <w:sz w:val="30"/>
      <w:szCs w:val="18"/>
    </w:rPr>
  </w:style>
  <w:style w:type="paragraph" w:customStyle="1" w:styleId="47">
    <w:name w:val="1"/>
    <w:basedOn w:val="1"/>
    <w:link w:val="48"/>
    <w:qFormat/>
    <w:uiPriority w:val="0"/>
    <w:pPr>
      <w:spacing w:line="360" w:lineRule="auto"/>
      <w:jc w:val="left"/>
    </w:pPr>
    <w:rPr>
      <w:rFonts w:ascii="Times New Roman" w:hAnsi="Times New Roman" w:eastAsia="宋体" w:cs="Times New Roman"/>
      <w:szCs w:val="24"/>
    </w:rPr>
  </w:style>
  <w:style w:type="character" w:customStyle="1" w:styleId="48">
    <w:name w:val="1 Char"/>
    <w:link w:val="47"/>
    <w:qFormat/>
    <w:uiPriority w:val="0"/>
    <w:rPr>
      <w:rFonts w:ascii="Times New Roman" w:hAnsi="Times New Roman" w:eastAsia="宋体" w:cs="Times New Roman"/>
      <w:szCs w:val="24"/>
    </w:rPr>
  </w:style>
  <w:style w:type="paragraph" w:customStyle="1" w:styleId="49">
    <w:name w:val="WPSOffice手动目录 1"/>
    <w:qFormat/>
    <w:uiPriority w:val="0"/>
    <w:rPr>
      <w:rFonts w:asciiTheme="minorHAnsi" w:hAnsiTheme="minorHAnsi" w:eastAsiaTheme="minorEastAsia" w:cstheme="minorBidi"/>
      <w:lang w:val="en-US" w:eastAsia="zh-CN" w:bidi="ar-SA"/>
    </w:rPr>
  </w:style>
  <w:style w:type="paragraph" w:customStyle="1" w:styleId="50">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5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773</Words>
  <Characters>4408</Characters>
  <Lines>36</Lines>
  <Paragraphs>10</Paragraphs>
  <TotalTime>2</TotalTime>
  <ScaleCrop>false</ScaleCrop>
  <LinksUpToDate>false</LinksUpToDate>
  <CharactersWithSpaces>5171</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2023-02-09T15:23:00Z</dcterms:created>
  <dc:creator>陈琼</dc:creator>
  <cp:lastModifiedBy>jyzx</cp:lastModifiedBy>
  <dcterms:modified xsi:type="dcterms:W3CDTF">2023-08-04T15:06:26Z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4E8C2892A6A84EF3861C34315B89246C_13</vt:lpwstr>
  </property>
</Properties>
</file>