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E87ACC">
      <w:pPr>
        <w:spacing w:line="600" w:lineRule="exact"/>
        <w:jc w:val="center"/>
        <w:rPr>
          <w:rFonts w:hint="eastAsia" w:ascii="原版宋体" w:hAnsi="原版宋体" w:eastAsia="方正小标宋简体" w:cs="Times New Roman"/>
          <w:kern w:val="2"/>
          <w:sz w:val="44"/>
          <w:szCs w:val="44"/>
          <w:lang w:eastAsia="zh-CN"/>
        </w:rPr>
      </w:pPr>
      <w:r>
        <w:rPr>
          <w:rFonts w:hint="eastAsia" w:ascii="原版宋体" w:hAnsi="原版宋体" w:eastAsia="方正小标宋简体" w:cs="Times New Roman"/>
          <w:kern w:val="2"/>
          <w:sz w:val="44"/>
          <w:szCs w:val="44"/>
          <w:lang w:eastAsia="zh-CN"/>
        </w:rPr>
        <w:t>娄星区医共体集中审方中心</w:t>
      </w:r>
    </w:p>
    <w:p w14:paraId="752C06B5">
      <w:pPr>
        <w:spacing w:line="600" w:lineRule="exact"/>
        <w:jc w:val="center"/>
        <w:rPr>
          <w:rFonts w:hint="default" w:ascii="原版宋体" w:hAnsi="原版宋体" w:eastAsia="方正小标宋简体" w:cs="Times New Roman"/>
          <w:kern w:val="2"/>
          <w:sz w:val="44"/>
          <w:szCs w:val="44"/>
          <w:lang w:val="en-US" w:eastAsia="zh-CN"/>
        </w:rPr>
      </w:pPr>
      <w:r>
        <w:rPr>
          <w:rFonts w:hint="eastAsia" w:ascii="原版宋体" w:hAnsi="原版宋体" w:eastAsia="方正小标宋简体" w:cs="Times New Roman"/>
          <w:kern w:val="2"/>
          <w:sz w:val="44"/>
          <w:szCs w:val="44"/>
          <w:lang w:eastAsia="zh-CN"/>
        </w:rPr>
        <w:t>建设功能</w:t>
      </w:r>
      <w:r>
        <w:rPr>
          <w:rFonts w:hint="eastAsia" w:ascii="原版宋体" w:hAnsi="原版宋体" w:eastAsia="方正小标宋简体" w:cs="Times New Roman"/>
          <w:kern w:val="2"/>
          <w:sz w:val="44"/>
          <w:szCs w:val="44"/>
          <w:lang w:val="en-US" w:eastAsia="zh-CN"/>
        </w:rPr>
        <w:t>需</w:t>
      </w:r>
      <w:r>
        <w:rPr>
          <w:rFonts w:hint="eastAsia" w:ascii="原版宋体" w:hAnsi="原版宋体" w:eastAsia="方正小标宋简体" w:cs="Times New Roman"/>
          <w:kern w:val="2"/>
          <w:sz w:val="44"/>
          <w:szCs w:val="44"/>
          <w:lang w:eastAsia="zh-CN"/>
        </w:rPr>
        <w:t>求（</w:t>
      </w:r>
      <w:r>
        <w:rPr>
          <w:rFonts w:hint="eastAsia" w:ascii="原版宋体" w:hAnsi="原版宋体" w:eastAsia="方正小标宋简体" w:cs="Times New Roman"/>
          <w:kern w:val="2"/>
          <w:sz w:val="44"/>
          <w:szCs w:val="44"/>
          <w:lang w:val="en-US" w:eastAsia="zh-CN"/>
        </w:rPr>
        <w:t>初稿版本</w:t>
      </w:r>
      <w:r>
        <w:rPr>
          <w:rFonts w:hint="eastAsia" w:ascii="原版宋体" w:hAnsi="原版宋体" w:eastAsia="方正小标宋简体" w:cs="Times New Roman"/>
          <w:kern w:val="2"/>
          <w:sz w:val="44"/>
          <w:szCs w:val="44"/>
          <w:lang w:eastAsia="zh-CN"/>
        </w:rPr>
        <w:t>）</w:t>
      </w:r>
    </w:p>
    <w:p w14:paraId="0226B849">
      <w:pPr>
        <w:spacing w:after="156" w:afterLines="50" w:line="480" w:lineRule="auto"/>
        <w:rPr>
          <w:b/>
        </w:rPr>
      </w:pPr>
    </w:p>
    <w:tbl>
      <w:tblPr>
        <w:tblStyle w:val="14"/>
        <w:tblW w:w="92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5"/>
        <w:gridCol w:w="1603"/>
        <w:gridCol w:w="6976"/>
      </w:tblGrid>
      <w:tr w14:paraId="6611D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685" w:type="dxa"/>
            <w:vAlign w:val="center"/>
          </w:tcPr>
          <w:p w14:paraId="18DCC1F6">
            <w:pPr>
              <w:jc w:val="center"/>
              <w:rPr>
                <w:rFonts w:hint="default" w:ascii="Times New Roman" w:hAnsi="Times New Roman" w:eastAsia="微软雅黑" w:cs="Times New Roman"/>
                <w:b/>
                <w:sz w:val="21"/>
                <w:szCs w:val="21"/>
                <w:lang w:eastAsia="zh-CN"/>
              </w:rPr>
            </w:pPr>
            <w:r>
              <w:rPr>
                <w:rFonts w:hint="default" w:ascii="Times New Roman" w:hAnsi="Times New Roman" w:eastAsia="微软雅黑" w:cs="Times New Roman"/>
                <w:b/>
                <w:sz w:val="21"/>
                <w:szCs w:val="21"/>
                <w:lang w:eastAsia="zh-CN"/>
              </w:rPr>
              <w:t>序号</w:t>
            </w:r>
          </w:p>
        </w:tc>
        <w:tc>
          <w:tcPr>
            <w:tcW w:w="1603" w:type="dxa"/>
            <w:vAlign w:val="center"/>
          </w:tcPr>
          <w:p w14:paraId="561F5846">
            <w:pPr>
              <w:jc w:val="center"/>
              <w:rPr>
                <w:rFonts w:hint="default" w:ascii="Times New Roman" w:hAnsi="Times New Roman" w:eastAsia="微软雅黑" w:cs="Times New Roman"/>
                <w:b/>
                <w:sz w:val="21"/>
                <w:szCs w:val="21"/>
                <w:lang w:eastAsia="zh-CN"/>
              </w:rPr>
            </w:pPr>
            <w:r>
              <w:rPr>
                <w:rFonts w:hint="default" w:ascii="Times New Roman" w:hAnsi="Times New Roman" w:eastAsia="微软雅黑" w:cs="Times New Roman"/>
                <w:b/>
                <w:sz w:val="21"/>
                <w:szCs w:val="21"/>
                <w:lang w:eastAsia="zh-CN"/>
              </w:rPr>
              <w:t>功能模块</w:t>
            </w:r>
          </w:p>
        </w:tc>
        <w:tc>
          <w:tcPr>
            <w:tcW w:w="6976" w:type="dxa"/>
            <w:vAlign w:val="center"/>
          </w:tcPr>
          <w:p w14:paraId="45838C2A">
            <w:pPr>
              <w:jc w:val="center"/>
              <w:rPr>
                <w:rFonts w:hint="default" w:ascii="Times New Roman" w:hAnsi="Times New Roman" w:eastAsia="微软雅黑" w:cs="Times New Roman"/>
                <w:b/>
                <w:sz w:val="21"/>
                <w:szCs w:val="21"/>
                <w:lang w:eastAsia="zh-CN"/>
              </w:rPr>
            </w:pPr>
            <w:r>
              <w:rPr>
                <w:rFonts w:hint="default" w:ascii="Times New Roman" w:hAnsi="Times New Roman" w:eastAsia="微软雅黑" w:cs="Times New Roman"/>
                <w:b/>
                <w:sz w:val="21"/>
                <w:szCs w:val="21"/>
                <w:lang w:eastAsia="zh-CN"/>
              </w:rPr>
              <w:t>具体功能</w:t>
            </w:r>
          </w:p>
        </w:tc>
      </w:tr>
      <w:tr w14:paraId="78FD6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9264" w:type="dxa"/>
            <w:gridSpan w:val="3"/>
            <w:vAlign w:val="center"/>
          </w:tcPr>
          <w:p w14:paraId="64D1DD21">
            <w:pPr>
              <w:rPr>
                <w:rFonts w:hint="default" w:ascii="Times New Roman" w:hAnsi="Times New Roman" w:cs="Times New Roman"/>
                <w:lang w:eastAsia="zh-CN"/>
              </w:rPr>
            </w:pPr>
            <w:r>
              <w:rPr>
                <w:rFonts w:hint="default" w:ascii="Times New Roman" w:hAnsi="Times New Roman" w:cs="Times New Roman" w:eastAsiaTheme="minorEastAsia"/>
                <w:b/>
                <w:sz w:val="24"/>
                <w:szCs w:val="24"/>
                <w:lang w:eastAsia="zh-CN"/>
              </w:rPr>
              <w:t>（一）区域医药知识库信息支持功能模块。</w:t>
            </w:r>
            <w:r>
              <w:rPr>
                <w:rFonts w:hint="default" w:ascii="Times New Roman" w:hAnsi="Times New Roman" w:cs="Times New Roman" w:eastAsiaTheme="minorEastAsia"/>
                <w:sz w:val="21"/>
                <w:szCs w:val="21"/>
                <w:lang w:eastAsia="zh-CN"/>
              </w:rPr>
              <w:t>功能要求：能满足临床医生开具处方时的不合理问题及时提醒，自动审方系统对医生处方审核后发现的不合理处方分不同层级进行处理：严重不合理的自动退回医生，中度以下的转到药师界面进行工人审核。支持系统主要来自于药品说明名书及所规定的审方规则。同时可供查询相关内容。在药品名称上标明相关【基药】等标示，有助于药师开处方或医嘱时了解并在用药后的统计。具体要求如下：</w:t>
            </w:r>
          </w:p>
        </w:tc>
      </w:tr>
      <w:tr w14:paraId="2569C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685" w:type="dxa"/>
            <w:vAlign w:val="center"/>
          </w:tcPr>
          <w:p w14:paraId="4253667C">
            <w:pPr>
              <w:jc w:val="center"/>
              <w:rPr>
                <w:rFonts w:hint="default" w:ascii="Times New Roman" w:hAnsi="Times New Roman" w:cs="Times New Roman" w:eastAsiaTheme="minorEastAsia"/>
                <w:b/>
                <w:sz w:val="21"/>
                <w:szCs w:val="21"/>
                <w:lang w:eastAsia="zh-CN"/>
              </w:rPr>
            </w:pPr>
            <w:r>
              <w:rPr>
                <w:rFonts w:hint="default" w:ascii="Times New Roman" w:hAnsi="Times New Roman" w:cs="Times New Roman" w:eastAsiaTheme="minorEastAsia"/>
                <w:b/>
                <w:sz w:val="21"/>
                <w:szCs w:val="21"/>
                <w:lang w:eastAsia="zh-CN"/>
              </w:rPr>
              <w:t>序号</w:t>
            </w:r>
          </w:p>
        </w:tc>
        <w:tc>
          <w:tcPr>
            <w:tcW w:w="1603" w:type="dxa"/>
            <w:vAlign w:val="center"/>
          </w:tcPr>
          <w:p w14:paraId="4FB92428">
            <w:pPr>
              <w:rPr>
                <w:rFonts w:hint="default" w:ascii="Times New Roman" w:hAnsi="Times New Roman" w:cs="Times New Roman" w:eastAsiaTheme="minorEastAsia"/>
                <w:b/>
                <w:sz w:val="21"/>
                <w:szCs w:val="21"/>
                <w:lang w:eastAsia="zh-CN"/>
              </w:rPr>
            </w:pPr>
            <w:r>
              <w:rPr>
                <w:rFonts w:hint="default" w:ascii="Times New Roman" w:hAnsi="Times New Roman" w:cs="Times New Roman" w:eastAsiaTheme="minorEastAsia"/>
                <w:b/>
                <w:sz w:val="21"/>
                <w:szCs w:val="21"/>
                <w:lang w:eastAsia="zh-CN"/>
              </w:rPr>
              <w:t xml:space="preserve">  功能名称</w:t>
            </w:r>
          </w:p>
        </w:tc>
        <w:tc>
          <w:tcPr>
            <w:tcW w:w="6976" w:type="dxa"/>
            <w:vAlign w:val="center"/>
          </w:tcPr>
          <w:p w14:paraId="363B2BCA">
            <w:pPr>
              <w:rPr>
                <w:rFonts w:hint="default" w:ascii="Times New Roman" w:hAnsi="Times New Roman" w:cs="Times New Roman" w:eastAsiaTheme="minorEastAsia"/>
                <w:b/>
                <w:sz w:val="21"/>
                <w:szCs w:val="21"/>
                <w:lang w:eastAsia="zh-CN"/>
              </w:rPr>
            </w:pPr>
            <w:r>
              <w:rPr>
                <w:rFonts w:hint="default" w:ascii="Times New Roman" w:hAnsi="Times New Roman" w:cs="Times New Roman" w:eastAsiaTheme="minorEastAsia"/>
                <w:b/>
                <w:sz w:val="21"/>
                <w:szCs w:val="21"/>
                <w:lang w:eastAsia="zh-CN"/>
              </w:rPr>
              <w:t xml:space="preserve">            功  能  要  求</w:t>
            </w:r>
          </w:p>
        </w:tc>
      </w:tr>
      <w:tr w14:paraId="5BDF0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5745C7D5">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1</w:t>
            </w:r>
          </w:p>
        </w:tc>
        <w:tc>
          <w:tcPr>
            <w:tcW w:w="1603" w:type="dxa"/>
            <w:vAlign w:val="center"/>
          </w:tcPr>
          <w:p w14:paraId="5A674747">
            <w:pPr>
              <w:widowControl/>
              <w:textAlignment w:val="center"/>
              <w:rPr>
                <w:rStyle w:val="23"/>
                <w:rFonts w:hint="default" w:ascii="Times New Roman" w:hAnsi="Times New Roman" w:cs="Times New Roman" w:eastAsiaTheme="minorEastAsia"/>
                <w:lang w:eastAsia="zh-CN" w:bidi="ar"/>
              </w:rPr>
            </w:pPr>
            <w:r>
              <w:rPr>
                <w:rStyle w:val="23"/>
                <w:rFonts w:hint="default" w:ascii="Times New Roman" w:hAnsi="Times New Roman" w:cs="Times New Roman"/>
                <w:lang w:eastAsia="zh-CN" w:bidi="ar"/>
              </w:rPr>
              <w:t>★</w:t>
            </w:r>
            <w:r>
              <w:rPr>
                <w:rStyle w:val="23"/>
                <w:rFonts w:hint="default" w:ascii="Times New Roman" w:hAnsi="Times New Roman" w:cs="Times New Roman" w:eastAsiaTheme="minorEastAsia"/>
                <w:lang w:eastAsia="zh-CN" w:bidi="ar"/>
              </w:rPr>
              <w:t>具备化学药品、生物制剂和血液制品等除中成药及中药</w:t>
            </w:r>
            <w:r>
              <w:rPr>
                <w:rStyle w:val="23"/>
                <w:rFonts w:hint="default" w:ascii="Times New Roman" w:hAnsi="Times New Roman" w:cs="Times New Roman"/>
                <w:lang w:eastAsia="zh-CN" w:bidi="ar"/>
              </w:rPr>
              <w:t>饮片外</w:t>
            </w:r>
            <w:r>
              <w:rPr>
                <w:rStyle w:val="23"/>
                <w:rFonts w:hint="default" w:ascii="Times New Roman" w:hAnsi="Times New Roman" w:cs="Times New Roman" w:eastAsiaTheme="minorEastAsia"/>
                <w:lang w:eastAsia="zh-CN" w:bidi="ar"/>
              </w:rPr>
              <w:t>药品的药品知识库（药品字典）</w:t>
            </w:r>
          </w:p>
        </w:tc>
        <w:tc>
          <w:tcPr>
            <w:tcW w:w="6976" w:type="dxa"/>
            <w:vAlign w:val="center"/>
          </w:tcPr>
          <w:p w14:paraId="0B3013D1">
            <w:pPr>
              <w:widowControl/>
              <w:textAlignment w:val="top"/>
              <w:rPr>
                <w:rFonts w:hint="default" w:ascii="Times New Roman" w:hAnsi="Times New Roman" w:cs="Times New Roman"/>
                <w:lang w:eastAsia="zh-CN"/>
              </w:rPr>
            </w:pPr>
            <w:r>
              <w:rPr>
                <w:rStyle w:val="23"/>
                <w:rFonts w:hint="default" w:ascii="Times New Roman" w:hAnsi="Times New Roman" w:cs="Times New Roman" w:eastAsiaTheme="minorEastAsia"/>
                <w:color w:val="000000" w:themeColor="text1"/>
                <w:lang w:eastAsia="zh-CN" w:bidi="ar"/>
                <w14:textFill>
                  <w14:solidFill>
                    <w14:schemeClr w14:val="tx1"/>
                  </w14:solidFill>
                </w14:textFill>
              </w:rPr>
              <w:t>药品知识库应该含盖中国已上市的药品的完整说明书内容，</w:t>
            </w:r>
            <w:r>
              <w:rPr>
                <w:rStyle w:val="23"/>
                <w:rFonts w:hint="default" w:ascii="Times New Roman" w:hAnsi="Times New Roman" w:cs="Times New Roman" w:eastAsiaTheme="minorEastAsia"/>
                <w:lang w:eastAsia="zh-CN" w:bidi="ar"/>
              </w:rPr>
              <w:t>中国国家处方集，</w:t>
            </w:r>
            <w:r>
              <w:rPr>
                <w:rStyle w:val="23"/>
                <w:rFonts w:hint="default" w:ascii="Times New Roman" w:hAnsi="Times New Roman" w:cs="Times New Roman" w:eastAsiaTheme="minorEastAsia"/>
                <w:color w:val="000000" w:themeColor="text1"/>
                <w:lang w:eastAsia="zh-CN" w:bidi="ar"/>
                <w14:textFill>
                  <w14:solidFill>
                    <w14:schemeClr w14:val="tx1"/>
                  </w14:solidFill>
                </w14:textFill>
              </w:rPr>
              <w:t>相应临床指南、临床路径等所推荐的药品种类</w:t>
            </w:r>
            <w:r>
              <w:rPr>
                <w:rStyle w:val="23"/>
                <w:rFonts w:hint="default" w:ascii="Times New Roman" w:hAnsi="Times New Roman" w:cs="Times New Roman" w:eastAsiaTheme="minorEastAsia"/>
                <w:color w:val="auto"/>
                <w:lang w:eastAsia="zh-CN" w:bidi="ar"/>
              </w:rPr>
              <w:t>，医院的自制制剂说明书内容，抗菌药物分级管理和抗肿瘤药物分级管理目录及医生权限。</w:t>
            </w:r>
            <w:r>
              <w:rPr>
                <w:rFonts w:hint="default" w:ascii="Times New Roman" w:hAnsi="Times New Roman" w:cs="Times New Roman"/>
                <w:sz w:val="21"/>
                <w:szCs w:val="21"/>
                <w:lang w:eastAsia="zh-CN"/>
              </w:rPr>
              <w:t>国家药品管理相关法律法规和规范性文件</w:t>
            </w:r>
            <w:r>
              <w:rPr>
                <w:rFonts w:hint="default" w:ascii="Times New Roman" w:hAnsi="Times New Roman" w:eastAsia="宋体" w:cs="Times New Roman"/>
                <w:sz w:val="21"/>
                <w:szCs w:val="21"/>
                <w:lang w:eastAsia="zh-CN"/>
              </w:rPr>
              <w:t>。</w:t>
            </w:r>
            <w:r>
              <w:rPr>
                <w:rStyle w:val="23"/>
                <w:rFonts w:hint="default" w:ascii="Times New Roman" w:hAnsi="Times New Roman" w:cs="Times New Roman" w:eastAsiaTheme="minorEastAsia"/>
                <w:color w:val="000000" w:themeColor="text1"/>
                <w:lang w:eastAsia="zh-CN" w:bidi="ar"/>
                <w14:textFill>
                  <w14:solidFill>
                    <w14:schemeClr w14:val="tx1"/>
                  </w14:solidFill>
                </w14:textFill>
              </w:rPr>
              <w:t>药品名称上应该相应标明【基药】、【集采】、【国谈】、【重点监控】、【麻醉药品】、【一精】、【二精】、【毒性】、【放射】、【特殊级抗菌药物】。而且能根据国家政策实时更新。</w:t>
            </w:r>
          </w:p>
        </w:tc>
      </w:tr>
      <w:tr w14:paraId="0A2C4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7447894B">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2</w:t>
            </w:r>
          </w:p>
        </w:tc>
        <w:tc>
          <w:tcPr>
            <w:tcW w:w="1603" w:type="dxa"/>
            <w:vAlign w:val="center"/>
          </w:tcPr>
          <w:p w14:paraId="7A01088F">
            <w:pPr>
              <w:widowControl/>
              <w:textAlignment w:val="center"/>
              <w:rPr>
                <w:rStyle w:val="23"/>
                <w:rFonts w:hint="default" w:ascii="Times New Roman" w:hAnsi="Times New Roman" w:cs="Times New Roman" w:eastAsiaTheme="minorEastAsia"/>
                <w:lang w:eastAsia="zh-CN" w:bidi="ar"/>
              </w:rPr>
            </w:pPr>
            <w:r>
              <w:rPr>
                <w:rStyle w:val="23"/>
                <w:rFonts w:hint="default" w:ascii="Times New Roman" w:hAnsi="Times New Roman" w:cs="Times New Roman" w:eastAsiaTheme="minorEastAsia"/>
                <w:lang w:eastAsia="zh-CN" w:bidi="ar"/>
              </w:rPr>
              <w:t xml:space="preserve">药物不良反应信息库 </w:t>
            </w:r>
          </w:p>
        </w:tc>
        <w:tc>
          <w:tcPr>
            <w:tcW w:w="6976" w:type="dxa"/>
            <w:vAlign w:val="center"/>
          </w:tcPr>
          <w:p w14:paraId="7053CB81">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收录了国家发布的药物不良反应信息，包括药物不良反应通报，并及时更新。能满足医生药师查询学习。</w:t>
            </w:r>
          </w:p>
        </w:tc>
      </w:tr>
      <w:tr w14:paraId="03ED6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224F61B7">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3</w:t>
            </w:r>
          </w:p>
        </w:tc>
        <w:tc>
          <w:tcPr>
            <w:tcW w:w="1603" w:type="dxa"/>
            <w:vAlign w:val="center"/>
          </w:tcPr>
          <w:p w14:paraId="7980B001">
            <w:pPr>
              <w:widowControl/>
              <w:textAlignment w:val="center"/>
              <w:rPr>
                <w:rFonts w:hint="default" w:ascii="Times New Roman" w:hAnsi="Times New Roman" w:cs="Times New Roman" w:eastAsiaTheme="minorEastAsia"/>
                <w:color w:val="000000"/>
                <w:sz w:val="21"/>
                <w:szCs w:val="21"/>
                <w:lang w:eastAsia="zh-CN"/>
              </w:rPr>
            </w:pPr>
            <w:r>
              <w:rPr>
                <w:rStyle w:val="23"/>
                <w:rFonts w:hint="default" w:ascii="Times New Roman" w:hAnsi="Times New Roman" w:cs="Times New Roman" w:eastAsiaTheme="minorEastAsia"/>
                <w:lang w:eastAsia="zh-CN" w:bidi="ar"/>
              </w:rPr>
              <w:t>药物警戒信息库</w:t>
            </w:r>
          </w:p>
        </w:tc>
        <w:tc>
          <w:tcPr>
            <w:tcW w:w="6976" w:type="dxa"/>
            <w:vAlign w:val="center"/>
          </w:tcPr>
          <w:p w14:paraId="6261A23E">
            <w:pPr>
              <w:widowControl/>
              <w:textAlignment w:val="top"/>
              <w:rPr>
                <w:rFonts w:hint="default" w:ascii="Times New Roman" w:hAnsi="Times New Roman" w:cs="Times New Roman" w:eastAsiaTheme="minorEastAsia"/>
                <w:sz w:val="21"/>
                <w:szCs w:val="21"/>
                <w:lang w:eastAsia="zh-CN"/>
              </w:rPr>
            </w:pPr>
            <w:r>
              <w:rPr>
                <w:rStyle w:val="23"/>
                <w:rFonts w:hint="default" w:ascii="Times New Roman" w:hAnsi="Times New Roman" w:cs="Times New Roman" w:eastAsiaTheme="minorEastAsia"/>
                <w:color w:val="auto"/>
                <w:lang w:eastAsia="zh-CN" w:bidi="ar"/>
              </w:rPr>
              <w:t>收录了国家历年发布的药物警戒快讯信息，并及时更新。能满足医生药师查询学习。</w:t>
            </w:r>
          </w:p>
        </w:tc>
      </w:tr>
      <w:tr w14:paraId="6E6A2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11ADEBB3">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4</w:t>
            </w:r>
          </w:p>
        </w:tc>
        <w:tc>
          <w:tcPr>
            <w:tcW w:w="1603" w:type="dxa"/>
            <w:vAlign w:val="center"/>
          </w:tcPr>
          <w:p w14:paraId="4E66369A">
            <w:pPr>
              <w:widowControl/>
              <w:textAlignment w:val="center"/>
              <w:rPr>
                <w:rFonts w:hint="default" w:ascii="Times New Roman" w:hAnsi="Times New Roman" w:cs="Times New Roman" w:eastAsiaTheme="minorEastAsia"/>
                <w:color w:val="000000"/>
                <w:sz w:val="21"/>
                <w:szCs w:val="21"/>
                <w:lang w:eastAsia="zh-CN"/>
              </w:rPr>
            </w:pPr>
            <w:r>
              <w:rPr>
                <w:rStyle w:val="23"/>
                <w:rFonts w:hint="default" w:ascii="Times New Roman" w:hAnsi="Times New Roman" w:cs="Times New Roman"/>
                <w:lang w:eastAsia="zh-CN" w:bidi="ar"/>
              </w:rPr>
              <w:t>★</w:t>
            </w:r>
            <w:r>
              <w:rPr>
                <w:rStyle w:val="23"/>
                <w:rFonts w:hint="default" w:ascii="Times New Roman" w:hAnsi="Times New Roman" w:cs="Times New Roman" w:eastAsiaTheme="minorEastAsia"/>
                <w:lang w:eastAsia="zh-CN" w:bidi="ar"/>
              </w:rPr>
              <w:t>中成药药品知识库（药典，包括中药注射剂）</w:t>
            </w:r>
          </w:p>
        </w:tc>
        <w:tc>
          <w:tcPr>
            <w:tcW w:w="6976" w:type="dxa"/>
            <w:vAlign w:val="center"/>
          </w:tcPr>
          <w:p w14:paraId="5A46BFF5">
            <w:pPr>
              <w:widowControl/>
              <w:textAlignment w:val="top"/>
              <w:rPr>
                <w:rFonts w:hint="default" w:ascii="Times New Roman" w:hAnsi="Times New Roman" w:cs="Times New Roman" w:eastAsiaTheme="minorEastAsia"/>
                <w:color w:val="000000"/>
                <w:sz w:val="21"/>
                <w:szCs w:val="21"/>
                <w:highlight w:val="yellow"/>
                <w:lang w:eastAsia="zh-CN"/>
              </w:rPr>
            </w:pPr>
            <w:r>
              <w:rPr>
                <w:rStyle w:val="23"/>
                <w:rFonts w:hint="default" w:ascii="Times New Roman" w:hAnsi="Times New Roman" w:cs="Times New Roman" w:eastAsiaTheme="minorEastAsia"/>
                <w:color w:val="000000" w:themeColor="text1"/>
                <w:lang w:eastAsia="zh-CN" w:bidi="ar"/>
                <w14:textFill>
                  <w14:solidFill>
                    <w14:schemeClr w14:val="tx1"/>
                  </w14:solidFill>
                </w14:textFill>
              </w:rPr>
              <w:t>中成药药品知识库应该含盖中国已上市的药品的完整说明书内容，</w:t>
            </w:r>
            <w:r>
              <w:rPr>
                <w:rStyle w:val="23"/>
                <w:rFonts w:hint="default" w:ascii="Times New Roman" w:hAnsi="Times New Roman" w:cs="Times New Roman" w:eastAsiaTheme="minorEastAsia"/>
                <w:lang w:eastAsia="zh-CN" w:bidi="ar"/>
              </w:rPr>
              <w:t>中国国家处方集，</w:t>
            </w:r>
            <w:r>
              <w:rPr>
                <w:rStyle w:val="23"/>
                <w:rFonts w:hint="default" w:ascii="Times New Roman" w:hAnsi="Times New Roman" w:cs="Times New Roman" w:eastAsiaTheme="minorEastAsia"/>
                <w:color w:val="000000" w:themeColor="text1"/>
                <w:lang w:eastAsia="zh-CN" w:bidi="ar"/>
                <w14:textFill>
                  <w14:solidFill>
                    <w14:schemeClr w14:val="tx1"/>
                  </w14:solidFill>
                </w14:textFill>
              </w:rPr>
              <w:t>相应临床指南、临床路径等所推荐的药品种类。药品名称上应该相应标明【基药】、【集采】、【国谈】、【重点监控】、【药性】。而且能根据国家政策实时更新。</w:t>
            </w:r>
          </w:p>
        </w:tc>
      </w:tr>
      <w:tr w14:paraId="05853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4FCEF0FE">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5</w:t>
            </w:r>
          </w:p>
        </w:tc>
        <w:tc>
          <w:tcPr>
            <w:tcW w:w="1603" w:type="dxa"/>
            <w:vAlign w:val="center"/>
          </w:tcPr>
          <w:p w14:paraId="6E90CA2F">
            <w:pPr>
              <w:widowControl/>
              <w:textAlignment w:val="center"/>
              <w:rPr>
                <w:rFonts w:hint="default" w:ascii="Times New Roman" w:hAnsi="Times New Roman" w:cs="Times New Roman" w:eastAsiaTheme="minorEastAsia"/>
                <w:color w:val="000000"/>
                <w:sz w:val="21"/>
                <w:szCs w:val="21"/>
                <w:lang w:eastAsia="zh-CN"/>
              </w:rPr>
            </w:pPr>
            <w:r>
              <w:rPr>
                <w:rStyle w:val="23"/>
                <w:rFonts w:hint="default" w:ascii="Times New Roman" w:hAnsi="Times New Roman" w:cs="Times New Roman"/>
                <w:lang w:eastAsia="zh-CN" w:bidi="ar"/>
              </w:rPr>
              <w:t>中药饮片知识库，包括</w:t>
            </w:r>
            <w:r>
              <w:rPr>
                <w:rStyle w:val="23"/>
                <w:rFonts w:hint="default" w:ascii="Times New Roman" w:hAnsi="Times New Roman" w:cs="Times New Roman"/>
                <w:kern w:val="2"/>
                <w:lang w:eastAsia="zh-CN" w:bidi="ar"/>
              </w:rPr>
              <w:t>中药配方颗粒</w:t>
            </w:r>
          </w:p>
        </w:tc>
        <w:tc>
          <w:tcPr>
            <w:tcW w:w="6976" w:type="dxa"/>
            <w:vAlign w:val="center"/>
          </w:tcPr>
          <w:p w14:paraId="04A9ED5E">
            <w:pPr>
              <w:widowControl/>
              <w:textAlignment w:val="top"/>
              <w:rPr>
                <w:rFonts w:hint="default" w:ascii="Times New Roman" w:hAnsi="Times New Roman" w:cs="Times New Roman" w:eastAsiaTheme="minorEastAsia"/>
                <w:color w:val="000000"/>
                <w:sz w:val="21"/>
                <w:szCs w:val="21"/>
                <w:highlight w:val="yellow"/>
                <w:lang w:eastAsia="zh-CN"/>
              </w:rPr>
            </w:pPr>
            <w:r>
              <w:rPr>
                <w:rStyle w:val="23"/>
                <w:rFonts w:hint="default" w:ascii="Times New Roman" w:hAnsi="Times New Roman" w:cs="Times New Roman" w:eastAsiaTheme="minorEastAsia"/>
                <w:color w:val="000000" w:themeColor="text1"/>
                <w:lang w:eastAsia="zh-CN" w:bidi="ar"/>
                <w14:textFill>
                  <w14:solidFill>
                    <w14:schemeClr w14:val="tx1"/>
                  </w14:solidFill>
                </w14:textFill>
              </w:rPr>
              <w:t>应该含盖药典上现有的</w:t>
            </w:r>
            <w:r>
              <w:rPr>
                <w:rStyle w:val="23"/>
                <w:rFonts w:hint="default" w:ascii="Times New Roman" w:hAnsi="Times New Roman" w:cs="Times New Roman"/>
                <w:lang w:eastAsia="zh-CN" w:bidi="ar"/>
              </w:rPr>
              <w:t>中药</w:t>
            </w:r>
            <w:r>
              <w:rPr>
                <w:rStyle w:val="23"/>
                <w:rFonts w:hint="default" w:ascii="Times New Roman" w:hAnsi="Times New Roman" w:cs="Times New Roman"/>
                <w:color w:val="auto"/>
                <w:lang w:eastAsia="zh-CN" w:bidi="ar"/>
              </w:rPr>
              <w:t>饮片和配方颗粒名称，</w:t>
            </w:r>
            <w:r>
              <w:rPr>
                <w:rStyle w:val="23"/>
                <w:rFonts w:hint="default" w:ascii="Times New Roman" w:hAnsi="Times New Roman" w:cs="Times New Roman" w:eastAsiaTheme="minorEastAsia"/>
                <w:color w:val="auto"/>
                <w:lang w:eastAsia="zh-CN" w:bidi="ar"/>
              </w:rPr>
              <w:t>各省中药饮片炮制规范、中药大辞典、中华本草等药品</w:t>
            </w:r>
            <w:r>
              <w:rPr>
                <w:rStyle w:val="23"/>
                <w:rFonts w:hint="default" w:ascii="Times New Roman" w:hAnsi="Times New Roman" w:cs="Times New Roman" w:eastAsiaTheme="minorEastAsia"/>
                <w:color w:val="FF0000"/>
                <w:lang w:eastAsia="zh-CN" w:bidi="ar"/>
              </w:rPr>
              <w:t>，</w:t>
            </w:r>
            <w:r>
              <w:rPr>
                <w:rStyle w:val="23"/>
                <w:rFonts w:hint="default" w:ascii="Times New Roman" w:hAnsi="Times New Roman" w:cs="Times New Roman" w:eastAsiaTheme="minorEastAsia"/>
                <w:color w:val="000000" w:themeColor="text1"/>
                <w:lang w:eastAsia="zh-CN" w:bidi="ar"/>
                <w14:textFill>
                  <w14:solidFill>
                    <w14:schemeClr w14:val="tx1"/>
                  </w14:solidFill>
                </w14:textFill>
              </w:rPr>
              <w:t>药品名称上应该相应标明【基药】、【集采】、【国谈】、【重点监控】、【药性】、【</w:t>
            </w:r>
            <w:r>
              <w:rPr>
                <w:rStyle w:val="23"/>
                <w:rFonts w:hint="default" w:ascii="Times New Roman" w:hAnsi="Times New Roman" w:cs="Times New Roman" w:eastAsiaTheme="minorEastAsia"/>
                <w:lang w:eastAsia="zh-CN" w:bidi="ar"/>
              </w:rPr>
              <w:t>炮制】，</w:t>
            </w:r>
            <w:r>
              <w:rPr>
                <w:rStyle w:val="23"/>
                <w:rFonts w:hint="default" w:ascii="Times New Roman" w:hAnsi="Times New Roman" w:cs="Times New Roman" w:eastAsiaTheme="minorEastAsia"/>
                <w:color w:val="000000" w:themeColor="text1"/>
                <w:lang w:eastAsia="zh-CN" w:bidi="ar"/>
                <w14:textFill>
                  <w14:solidFill>
                    <w14:schemeClr w14:val="tx1"/>
                  </w14:solidFill>
                </w14:textFill>
              </w:rPr>
              <w:t>而且能根据国家政策实时更新。</w:t>
            </w:r>
          </w:p>
        </w:tc>
      </w:tr>
      <w:tr w14:paraId="2E85A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03E49392">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6</w:t>
            </w:r>
          </w:p>
        </w:tc>
        <w:tc>
          <w:tcPr>
            <w:tcW w:w="1603" w:type="dxa"/>
            <w:vAlign w:val="center"/>
          </w:tcPr>
          <w:p w14:paraId="3305CF57">
            <w:pPr>
              <w:widowControl/>
              <w:textAlignment w:val="center"/>
              <w:rPr>
                <w:rStyle w:val="23"/>
                <w:rFonts w:hint="default" w:ascii="Times New Roman" w:hAnsi="Times New Roman" w:cs="Times New Roman"/>
                <w:lang w:eastAsia="zh-CN" w:bidi="ar"/>
              </w:rPr>
            </w:pPr>
            <w:r>
              <w:rPr>
                <w:rStyle w:val="23"/>
                <w:rFonts w:hint="default" w:ascii="Times New Roman" w:hAnsi="Times New Roman" w:cs="Times New Roman"/>
                <w:lang w:eastAsia="zh-CN" w:bidi="ar"/>
              </w:rPr>
              <w:t>★</w:t>
            </w:r>
            <w:r>
              <w:rPr>
                <w:rStyle w:val="23"/>
                <w:rFonts w:hint="default" w:ascii="Times New Roman" w:hAnsi="Times New Roman" w:cs="Times New Roman" w:eastAsiaTheme="minorEastAsia"/>
                <w:lang w:eastAsia="zh-CN" w:bidi="ar"/>
              </w:rPr>
              <w:t>用药知识库查询</w:t>
            </w:r>
          </w:p>
        </w:tc>
        <w:tc>
          <w:tcPr>
            <w:tcW w:w="6976" w:type="dxa"/>
            <w:vAlign w:val="center"/>
          </w:tcPr>
          <w:p w14:paraId="144854B6">
            <w:pPr>
              <w:widowControl/>
              <w:textAlignment w:val="top"/>
              <w:rPr>
                <w:rStyle w:val="23"/>
                <w:rFonts w:hint="default" w:ascii="Times New Roman" w:hAnsi="Times New Roman" w:cs="Times New Roman" w:eastAsiaTheme="minorEastAsia"/>
                <w:lang w:eastAsia="zh-CN"/>
              </w:rPr>
            </w:pPr>
            <w:r>
              <w:rPr>
                <w:rStyle w:val="23"/>
                <w:rFonts w:hint="default" w:ascii="Times New Roman" w:hAnsi="Times New Roman" w:cs="Times New Roman" w:eastAsiaTheme="minorEastAsia"/>
                <w:lang w:eastAsia="zh-CN" w:bidi="ar"/>
              </w:rPr>
              <w:t>用药指南、最新不良反应信息，单一药品对其它药品的相互作用信息，正确用药信息等</w:t>
            </w:r>
          </w:p>
        </w:tc>
      </w:tr>
      <w:tr w14:paraId="6831A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2500D445">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7</w:t>
            </w:r>
          </w:p>
        </w:tc>
        <w:tc>
          <w:tcPr>
            <w:tcW w:w="1603" w:type="dxa"/>
            <w:vAlign w:val="center"/>
          </w:tcPr>
          <w:p w14:paraId="159DBE9B">
            <w:pPr>
              <w:widowControl/>
              <w:textAlignment w:val="center"/>
              <w:rPr>
                <w:rStyle w:val="23"/>
                <w:rFonts w:hint="default" w:ascii="Times New Roman" w:hAnsi="Times New Roman" w:cs="Times New Roman" w:eastAsiaTheme="minorEastAsia"/>
                <w:lang w:eastAsia="zh-CN" w:bidi="ar"/>
              </w:rPr>
            </w:pPr>
            <w:r>
              <w:rPr>
                <w:rStyle w:val="23"/>
                <w:rFonts w:hint="default" w:ascii="Times New Roman" w:hAnsi="Times New Roman" w:cs="Times New Roman" w:eastAsiaTheme="minorEastAsia"/>
                <w:lang w:eastAsia="zh-CN" w:bidi="ar"/>
              </w:rPr>
              <w:t>中医药知识查询功能</w:t>
            </w:r>
          </w:p>
        </w:tc>
        <w:tc>
          <w:tcPr>
            <w:tcW w:w="6976" w:type="dxa"/>
            <w:vAlign w:val="center"/>
          </w:tcPr>
          <w:p w14:paraId="4F7470C8">
            <w:pPr>
              <w:widowControl/>
              <w:textAlignment w:val="top"/>
              <w:rPr>
                <w:rStyle w:val="23"/>
                <w:rFonts w:hint="default" w:ascii="Times New Roman" w:hAnsi="Times New Roman" w:cs="Times New Roman" w:eastAsiaTheme="minorEastAsia"/>
                <w:lang w:eastAsia="zh-CN" w:bidi="ar"/>
              </w:rPr>
            </w:pPr>
            <w:r>
              <w:rPr>
                <w:rStyle w:val="23"/>
                <w:rFonts w:hint="default" w:ascii="Times New Roman" w:hAnsi="Times New Roman" w:cs="Times New Roman" w:eastAsiaTheme="minorEastAsia"/>
                <w:lang w:eastAsia="zh-CN" w:bidi="ar"/>
              </w:rPr>
              <w:t xml:space="preserve">该数据库可以由中药材、中医方剂、中医诊疗方案、中医临床路径、中医标准术语、中医病证分类与代码6个子数据库组成，满足中医药卫生专业人员日常工作中对中医药信息的需求。 </w:t>
            </w:r>
          </w:p>
        </w:tc>
      </w:tr>
      <w:tr w14:paraId="0226B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37610266">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8</w:t>
            </w:r>
          </w:p>
        </w:tc>
        <w:tc>
          <w:tcPr>
            <w:tcW w:w="1603" w:type="dxa"/>
            <w:vAlign w:val="center"/>
          </w:tcPr>
          <w:p w14:paraId="3530AF73">
            <w:pPr>
              <w:widowControl/>
              <w:textAlignment w:val="center"/>
              <w:rPr>
                <w:rStyle w:val="23"/>
                <w:rFonts w:hint="default" w:ascii="Times New Roman" w:hAnsi="Times New Roman" w:cs="Times New Roman" w:eastAsiaTheme="minorEastAsia"/>
                <w:lang w:eastAsia="zh-CN" w:bidi="ar"/>
              </w:rPr>
            </w:pPr>
            <w:r>
              <w:rPr>
                <w:rStyle w:val="23"/>
                <w:rFonts w:hint="default" w:ascii="Times New Roman" w:hAnsi="Times New Roman" w:cs="Times New Roman"/>
                <w:lang w:eastAsia="zh-CN" w:bidi="ar"/>
              </w:rPr>
              <w:t>★</w:t>
            </w:r>
            <w:r>
              <w:rPr>
                <w:rStyle w:val="23"/>
                <w:rFonts w:hint="default" w:ascii="Times New Roman" w:hAnsi="Times New Roman" w:cs="Times New Roman" w:eastAsiaTheme="minorEastAsia"/>
                <w:lang w:eastAsia="zh-CN" w:bidi="ar"/>
              </w:rPr>
              <w:t>中医词典信息查询</w:t>
            </w:r>
          </w:p>
        </w:tc>
        <w:tc>
          <w:tcPr>
            <w:tcW w:w="6976" w:type="dxa"/>
            <w:vAlign w:val="center"/>
          </w:tcPr>
          <w:p w14:paraId="25E56CB6">
            <w:pPr>
              <w:widowControl/>
              <w:textAlignment w:val="top"/>
              <w:rPr>
                <w:rStyle w:val="23"/>
                <w:rFonts w:hint="default" w:ascii="Times New Roman" w:hAnsi="Times New Roman" w:cs="Times New Roman" w:eastAsiaTheme="minorEastAsia"/>
                <w:lang w:eastAsia="zh-CN" w:bidi="ar"/>
              </w:rPr>
            </w:pPr>
            <w:r>
              <w:rPr>
                <w:rStyle w:val="23"/>
                <w:rFonts w:hint="default" w:ascii="Times New Roman" w:hAnsi="Times New Roman" w:cs="Times New Roman" w:eastAsiaTheme="minorEastAsia"/>
                <w:lang w:eastAsia="zh-CN" w:bidi="ar"/>
              </w:rPr>
              <w:t>收集各种中医词汇按某种顺序排列并加以解释供医务人员检查参考的查询工具。包括如阳虚、气血不足等中医名词:本草纲目、黄帝内经等医书简介;荨麻疹、湿疹、慢性咽炎、白内障等疾病名词。</w:t>
            </w:r>
          </w:p>
        </w:tc>
      </w:tr>
      <w:tr w14:paraId="6328E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519DCE19">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9</w:t>
            </w:r>
          </w:p>
        </w:tc>
        <w:tc>
          <w:tcPr>
            <w:tcW w:w="1603" w:type="dxa"/>
            <w:vAlign w:val="center"/>
          </w:tcPr>
          <w:p w14:paraId="0AF837F1">
            <w:pPr>
              <w:widowControl/>
              <w:textAlignment w:val="center"/>
              <w:rPr>
                <w:rStyle w:val="23"/>
                <w:rFonts w:hint="default" w:ascii="Times New Roman" w:hAnsi="Times New Roman" w:cs="Times New Roman"/>
                <w:lang w:eastAsia="zh-CN" w:bidi="ar"/>
              </w:rPr>
            </w:pPr>
            <w:r>
              <w:rPr>
                <w:rStyle w:val="23"/>
                <w:rFonts w:hint="default" w:ascii="Times New Roman" w:hAnsi="Times New Roman" w:cs="Times New Roman" w:eastAsiaTheme="minorEastAsia"/>
                <w:lang w:eastAsia="zh-CN" w:bidi="ar"/>
              </w:rPr>
              <w:t>中药炮制信息查询</w:t>
            </w:r>
          </w:p>
        </w:tc>
        <w:tc>
          <w:tcPr>
            <w:tcW w:w="6976" w:type="dxa"/>
            <w:vAlign w:val="center"/>
          </w:tcPr>
          <w:p w14:paraId="120A243C">
            <w:pPr>
              <w:widowControl/>
              <w:textAlignment w:val="top"/>
              <w:rPr>
                <w:rStyle w:val="23"/>
                <w:rFonts w:hint="default" w:ascii="Times New Roman" w:hAnsi="Times New Roman" w:cs="Times New Roman" w:eastAsiaTheme="minorEastAsia"/>
                <w:lang w:eastAsia="zh-CN" w:bidi="ar"/>
              </w:rPr>
            </w:pPr>
            <w:r>
              <w:rPr>
                <w:rStyle w:val="23"/>
                <w:rFonts w:hint="default" w:ascii="Times New Roman" w:hAnsi="Times New Roman" w:cs="Times New Roman" w:eastAsiaTheme="minorEastAsia"/>
                <w:lang w:eastAsia="zh-CN" w:bidi="ar"/>
              </w:rPr>
              <w:t>查询功能是收集了各种中草药的炮制规范，</w:t>
            </w:r>
            <w:r>
              <w:rPr>
                <w:rStyle w:val="29"/>
                <w:rFonts w:hint="default" w:ascii="Times New Roman" w:hAnsi="Times New Roman" w:cs="Times New Roman" w:eastAsiaTheme="minorEastAsia"/>
                <w:color w:val="000000"/>
                <w:lang w:eastAsia="zh-CN" w:bidi="ar"/>
              </w:rPr>
              <w:t>以及调剂、制剂的不同要求所采取的制药技术</w:t>
            </w:r>
            <w:r>
              <w:rPr>
                <w:rStyle w:val="30"/>
                <w:rFonts w:hint="default" w:ascii="Times New Roman" w:hAnsi="Times New Roman" w:cs="Times New Roman" w:eastAsiaTheme="minorEastAsia"/>
                <w:color w:val="000000"/>
                <w:lang w:eastAsia="zh-CN" w:bidi="ar"/>
              </w:rPr>
              <w:t>，</w:t>
            </w:r>
            <w:r>
              <w:rPr>
                <w:rStyle w:val="23"/>
                <w:rFonts w:hint="default" w:ascii="Times New Roman" w:hAnsi="Times New Roman" w:cs="Times New Roman" w:eastAsiaTheme="minorEastAsia"/>
                <w:lang w:eastAsia="zh-CN" w:bidi="ar"/>
              </w:rPr>
              <w:t>提供系统查询功能，供医务人员检查参考的查询工具。</w:t>
            </w:r>
          </w:p>
        </w:tc>
      </w:tr>
      <w:tr w14:paraId="59D69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0AC4538F">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10</w:t>
            </w:r>
          </w:p>
        </w:tc>
        <w:tc>
          <w:tcPr>
            <w:tcW w:w="1603" w:type="dxa"/>
            <w:vAlign w:val="center"/>
          </w:tcPr>
          <w:p w14:paraId="57A64CB1">
            <w:pPr>
              <w:widowControl/>
              <w:textAlignment w:val="center"/>
              <w:rPr>
                <w:rStyle w:val="23"/>
                <w:rFonts w:hint="default" w:ascii="Times New Roman" w:hAnsi="Times New Roman" w:cs="Times New Roman"/>
                <w:lang w:eastAsia="zh-CN" w:bidi="ar"/>
              </w:rPr>
            </w:pPr>
            <w:r>
              <w:rPr>
                <w:rStyle w:val="23"/>
                <w:rFonts w:hint="default" w:ascii="Times New Roman" w:hAnsi="Times New Roman" w:cs="Times New Roman"/>
                <w:lang w:eastAsia="zh-CN" w:bidi="ar"/>
              </w:rPr>
              <w:t>★</w:t>
            </w:r>
            <w:r>
              <w:rPr>
                <w:rStyle w:val="23"/>
                <w:rFonts w:hint="default" w:ascii="Times New Roman" w:hAnsi="Times New Roman" w:cs="Times New Roman" w:eastAsiaTheme="minorEastAsia"/>
                <w:lang w:eastAsia="zh-CN" w:bidi="ar"/>
              </w:rPr>
              <w:t>用药交待（用药指导）知识查询</w:t>
            </w:r>
          </w:p>
        </w:tc>
        <w:tc>
          <w:tcPr>
            <w:tcW w:w="6976" w:type="dxa"/>
            <w:vAlign w:val="center"/>
          </w:tcPr>
          <w:p w14:paraId="2463F512">
            <w:pPr>
              <w:widowControl/>
              <w:textAlignment w:val="top"/>
              <w:rPr>
                <w:rStyle w:val="23"/>
                <w:rFonts w:hint="default" w:ascii="Times New Roman" w:hAnsi="Times New Roman" w:cs="Times New Roman" w:eastAsiaTheme="minorEastAsia"/>
                <w:lang w:eastAsia="zh-CN" w:bidi="ar"/>
              </w:rPr>
            </w:pPr>
            <w:r>
              <w:rPr>
                <w:rStyle w:val="23"/>
                <w:rFonts w:hint="default" w:ascii="Times New Roman" w:hAnsi="Times New Roman" w:cs="Times New Roman" w:eastAsiaTheme="minorEastAsia"/>
                <w:lang w:eastAsia="zh-CN" w:bidi="ar"/>
              </w:rPr>
              <w:t>收录了药品精简的用药前、用药时与用药后的相关注意事项知识库内容，供药师对患者进行合理的用药交待,便于对患者用药的指导</w:t>
            </w:r>
          </w:p>
        </w:tc>
      </w:tr>
      <w:tr w14:paraId="469A8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3B64EF29">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default" w:ascii="Times New Roman" w:hAnsi="Times New Roman" w:cs="Times New Roman" w:eastAsiaTheme="minorEastAsia"/>
                <w:color w:val="000000"/>
                <w:sz w:val="21"/>
                <w:szCs w:val="21"/>
                <w:lang w:val="en-US" w:eastAsia="zh-CN"/>
              </w:rPr>
              <w:t>11</w:t>
            </w:r>
          </w:p>
        </w:tc>
        <w:tc>
          <w:tcPr>
            <w:tcW w:w="1603" w:type="dxa"/>
            <w:vAlign w:val="center"/>
          </w:tcPr>
          <w:p w14:paraId="422BE409">
            <w:pPr>
              <w:widowControl/>
              <w:jc w:val="left"/>
              <w:textAlignment w:val="center"/>
              <w:rPr>
                <w:rStyle w:val="23"/>
                <w:rFonts w:hint="default" w:ascii="Times New Roman" w:hAnsi="Times New Roman" w:cs="Times New Roman"/>
                <w:lang w:eastAsia="zh-CN" w:bidi="ar"/>
              </w:rPr>
            </w:pPr>
            <w:r>
              <w:rPr>
                <w:rStyle w:val="23"/>
                <w:rFonts w:hint="default" w:ascii="Times New Roman" w:hAnsi="Times New Roman" w:cs="Times New Roman"/>
                <w:lang w:eastAsia="zh-CN" w:bidi="ar"/>
              </w:rPr>
              <w:t>★知识库的自定义功能</w:t>
            </w:r>
          </w:p>
        </w:tc>
        <w:tc>
          <w:tcPr>
            <w:tcW w:w="6976" w:type="dxa"/>
            <w:vAlign w:val="center"/>
          </w:tcPr>
          <w:p w14:paraId="636F0692">
            <w:pPr>
              <w:autoSpaceDE w:val="0"/>
              <w:autoSpaceDN w:val="0"/>
              <w:rPr>
                <w:rFonts w:hint="default" w:ascii="Times New Roman" w:hAnsi="Times New Roman" w:eastAsia="宋体" w:cs="Times New Roman"/>
                <w:sz w:val="21"/>
                <w:szCs w:val="21"/>
                <w:lang w:eastAsia="zh-CN" w:bidi="ar"/>
              </w:rPr>
            </w:pPr>
            <w:r>
              <w:rPr>
                <w:rFonts w:hint="default" w:ascii="Times New Roman" w:hAnsi="Times New Roman" w:eastAsia="宋体" w:cs="Times New Roman"/>
                <w:sz w:val="21"/>
                <w:szCs w:val="21"/>
                <w:lang w:eastAsia="zh-CN" w:bidi="ar"/>
              </w:rPr>
              <w:t>医疗机构可自定义自制制剂说明书、超说明书审批文件、微生物耐监测数据等。</w:t>
            </w:r>
          </w:p>
        </w:tc>
      </w:tr>
      <w:tr w14:paraId="07E4B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2630C14F">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eastAsia" w:ascii="Times New Roman" w:hAnsi="Times New Roman" w:cs="Times New Roman" w:eastAsiaTheme="minorEastAsia"/>
                <w:color w:val="000000"/>
                <w:sz w:val="21"/>
                <w:szCs w:val="21"/>
                <w:lang w:val="en-US" w:eastAsia="zh-CN"/>
              </w:rPr>
              <w:t>12</w:t>
            </w:r>
          </w:p>
        </w:tc>
        <w:tc>
          <w:tcPr>
            <w:tcW w:w="1603" w:type="dxa"/>
            <w:vAlign w:val="center"/>
          </w:tcPr>
          <w:p w14:paraId="09B9D827">
            <w:pPr>
              <w:widowControl/>
              <w:jc w:val="left"/>
              <w:textAlignment w:val="center"/>
              <w:rPr>
                <w:rStyle w:val="23"/>
                <w:rFonts w:hint="default" w:ascii="Times New Roman" w:hAnsi="Times New Roman" w:cs="Times New Roman"/>
                <w:lang w:eastAsia="zh-CN" w:bidi="ar"/>
              </w:rPr>
            </w:pPr>
            <w:r>
              <w:rPr>
                <w:rStyle w:val="23"/>
                <w:rFonts w:hint="default" w:ascii="Times New Roman" w:hAnsi="Times New Roman" w:cs="Times New Roman"/>
                <w:lang w:eastAsia="zh-CN" w:bidi="ar"/>
              </w:rPr>
              <w:t>中医著作知识查询</w:t>
            </w:r>
          </w:p>
        </w:tc>
        <w:tc>
          <w:tcPr>
            <w:tcW w:w="6976" w:type="dxa"/>
            <w:vAlign w:val="center"/>
          </w:tcPr>
          <w:p w14:paraId="74CCFAA1">
            <w:pPr>
              <w:autoSpaceDE w:val="0"/>
              <w:autoSpaceDN w:val="0"/>
              <w:rPr>
                <w:rFonts w:hint="default" w:ascii="Times New Roman" w:hAnsi="Times New Roman" w:eastAsia="宋体" w:cs="Times New Roman"/>
                <w:sz w:val="21"/>
                <w:szCs w:val="21"/>
                <w:lang w:eastAsia="zh-CN" w:bidi="ar"/>
              </w:rPr>
            </w:pPr>
            <w:r>
              <w:rPr>
                <w:rFonts w:hint="default" w:ascii="Times New Roman" w:hAnsi="Times New Roman" w:eastAsia="宋体" w:cs="Times New Roman"/>
                <w:sz w:val="21"/>
                <w:szCs w:val="21"/>
                <w:lang w:eastAsia="zh-CN" w:bidi="ar"/>
              </w:rPr>
              <w:t>收录了中国中医著作书籍提供电子查询功能，收录了《伤寒论》、《黄帝内经太素》、《中藏经》、《难经》、《本草纲目》、《金匮要略方论》、《温热论》、《针灸大成》、《脉经》等 564部中医著作书籍内容。</w:t>
            </w:r>
          </w:p>
        </w:tc>
      </w:tr>
      <w:tr w14:paraId="5E41D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50C40AAE">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eastAsia" w:ascii="Times New Roman" w:hAnsi="Times New Roman" w:cs="Times New Roman" w:eastAsiaTheme="minorEastAsia"/>
                <w:color w:val="000000"/>
                <w:sz w:val="21"/>
                <w:szCs w:val="21"/>
                <w:lang w:val="en-US" w:eastAsia="zh-CN"/>
              </w:rPr>
              <w:t>13</w:t>
            </w:r>
          </w:p>
        </w:tc>
        <w:tc>
          <w:tcPr>
            <w:tcW w:w="1603" w:type="dxa"/>
            <w:vAlign w:val="center"/>
          </w:tcPr>
          <w:p w14:paraId="1B3FE61A">
            <w:pPr>
              <w:widowControl/>
              <w:jc w:val="left"/>
              <w:textAlignment w:val="center"/>
              <w:rPr>
                <w:rStyle w:val="23"/>
                <w:rFonts w:hint="default" w:ascii="Times New Roman" w:hAnsi="Times New Roman" w:cs="Times New Roman"/>
                <w:lang w:eastAsia="zh-CN" w:bidi="ar"/>
              </w:rPr>
            </w:pPr>
            <w:r>
              <w:rPr>
                <w:rStyle w:val="23"/>
                <w:rFonts w:hint="default" w:ascii="Times New Roman" w:hAnsi="Times New Roman" w:cs="Times New Roman"/>
                <w:lang w:eastAsia="zh-CN" w:bidi="ar"/>
              </w:rPr>
              <w:t>★用药交待(用药指导知识查询</w:t>
            </w:r>
            <w:r>
              <w:rPr>
                <w:rStyle w:val="23"/>
                <w:rFonts w:hint="eastAsia" w:ascii="Times New Roman" w:hAnsi="Times New Roman" w:cs="Times New Roman"/>
                <w:lang w:eastAsia="zh-CN" w:bidi="ar"/>
              </w:rPr>
              <w:t>）</w:t>
            </w:r>
          </w:p>
        </w:tc>
        <w:tc>
          <w:tcPr>
            <w:tcW w:w="6976" w:type="dxa"/>
            <w:vAlign w:val="center"/>
          </w:tcPr>
          <w:p w14:paraId="6C975142">
            <w:pPr>
              <w:autoSpaceDE w:val="0"/>
              <w:autoSpaceDN w:val="0"/>
              <w:rPr>
                <w:rFonts w:hint="default" w:ascii="Times New Roman" w:hAnsi="Times New Roman" w:eastAsia="宋体" w:cs="Times New Roman"/>
                <w:sz w:val="21"/>
                <w:szCs w:val="21"/>
                <w:lang w:eastAsia="zh-CN" w:bidi="ar"/>
              </w:rPr>
            </w:pPr>
            <w:r>
              <w:rPr>
                <w:rFonts w:hint="default" w:ascii="Times New Roman" w:hAnsi="Times New Roman" w:eastAsia="宋体" w:cs="Times New Roman"/>
                <w:sz w:val="21"/>
                <w:szCs w:val="21"/>
                <w:lang w:eastAsia="zh-CN" w:bidi="ar"/>
              </w:rPr>
              <w:t>为了指导药师对患者进行合理的用药交待,使患者用药达到安全、有效、合理、经济，收录了药品精简的用药前、用药时与用药后的相关注意事项知识库内容，便于对患者用药的指导</w:t>
            </w:r>
          </w:p>
        </w:tc>
      </w:tr>
      <w:tr w14:paraId="23B46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6C3546AF">
            <w:pPr>
              <w:widowControl/>
              <w:numPr>
                <w:ilvl w:val="0"/>
                <w:numId w:val="0"/>
              </w:numPr>
              <w:ind w:left="0" w:firstLine="0"/>
              <w:jc w:val="center"/>
              <w:textAlignment w:val="center"/>
              <w:rPr>
                <w:rFonts w:hint="default" w:ascii="Times New Roman" w:hAnsi="Times New Roman" w:cs="Times New Roman" w:eastAsiaTheme="minorEastAsia"/>
                <w:color w:val="000000"/>
                <w:sz w:val="21"/>
                <w:szCs w:val="21"/>
                <w:lang w:val="en-US" w:eastAsia="zh-CN"/>
              </w:rPr>
            </w:pPr>
            <w:r>
              <w:rPr>
                <w:rFonts w:hint="eastAsia" w:ascii="Times New Roman" w:hAnsi="Times New Roman" w:cs="Times New Roman" w:eastAsiaTheme="minorEastAsia"/>
                <w:color w:val="000000"/>
                <w:sz w:val="21"/>
                <w:szCs w:val="21"/>
                <w:lang w:val="en-US" w:eastAsia="zh-CN"/>
              </w:rPr>
              <w:t>14</w:t>
            </w:r>
          </w:p>
        </w:tc>
        <w:tc>
          <w:tcPr>
            <w:tcW w:w="1603" w:type="dxa"/>
            <w:vAlign w:val="center"/>
          </w:tcPr>
          <w:p w14:paraId="7910B905">
            <w:pPr>
              <w:widowControl/>
              <w:jc w:val="left"/>
              <w:textAlignment w:val="center"/>
              <w:rPr>
                <w:rStyle w:val="23"/>
                <w:rFonts w:hint="default" w:ascii="Times New Roman" w:hAnsi="Times New Roman" w:cs="Times New Roman"/>
                <w:lang w:eastAsia="zh-CN" w:bidi="ar"/>
              </w:rPr>
            </w:pPr>
            <w:r>
              <w:rPr>
                <w:rStyle w:val="23"/>
                <w:rFonts w:hint="default" w:ascii="Times New Roman" w:hAnsi="Times New Roman" w:cs="Times New Roman"/>
                <w:lang w:eastAsia="zh-CN" w:bidi="ar"/>
              </w:rPr>
              <w:t>国家处方集查询</w:t>
            </w:r>
          </w:p>
        </w:tc>
        <w:tc>
          <w:tcPr>
            <w:tcW w:w="6976" w:type="dxa"/>
            <w:vAlign w:val="center"/>
          </w:tcPr>
          <w:p w14:paraId="5205E8B2">
            <w:pPr>
              <w:autoSpaceDE w:val="0"/>
              <w:autoSpaceDN w:val="0"/>
              <w:rPr>
                <w:rFonts w:hint="default" w:ascii="Times New Roman" w:hAnsi="Times New Roman" w:eastAsia="宋体" w:cs="Times New Roman"/>
                <w:sz w:val="21"/>
                <w:szCs w:val="21"/>
                <w:lang w:eastAsia="zh-CN" w:bidi="ar"/>
              </w:rPr>
            </w:pPr>
            <w:r>
              <w:rPr>
                <w:rFonts w:hint="default" w:ascii="Times New Roman" w:hAnsi="Times New Roman" w:eastAsia="宋体" w:cs="Times New Roman"/>
                <w:sz w:val="21"/>
                <w:szCs w:val="21"/>
                <w:lang w:eastAsia="zh-CN" w:bidi="ar"/>
              </w:rPr>
              <w:t>收录了2020版中国国家处方集化学药品与生物制品卷第2版的内容提供电子查询功能，中国国家处方集是合理用药的指导性文件，也是实施国家药，拼 女物政策的重要文件。“处方集”所遴选的药品品种涵盖了国家基本药物录、国家医保药品目录中的全部药物和其他一些常用药物，基本满足了临床常见病、多发病及重大、疑难、复杂疾病抢救、治疗的需要。</w:t>
            </w:r>
          </w:p>
        </w:tc>
      </w:tr>
      <w:tr w14:paraId="628ED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685" w:type="dxa"/>
            <w:vAlign w:val="center"/>
          </w:tcPr>
          <w:p w14:paraId="2B014734">
            <w:pPr>
              <w:widowControl/>
              <w:numPr>
                <w:ilvl w:val="0"/>
                <w:numId w:val="0"/>
              </w:numPr>
              <w:ind w:left="0" w:firstLine="0"/>
              <w:jc w:val="center"/>
              <w:textAlignment w:val="center"/>
              <w:rPr>
                <w:rFonts w:hint="default" w:ascii="Times New Roman" w:hAnsi="Times New Roman" w:cs="Times New Roman" w:eastAsiaTheme="minorEastAsia"/>
                <w:color w:val="auto"/>
                <w:sz w:val="21"/>
                <w:szCs w:val="21"/>
                <w:lang w:val="en-US" w:eastAsia="zh-CN"/>
              </w:rPr>
            </w:pPr>
            <w:bookmarkStart w:id="7" w:name="_GoBack"/>
            <w:r>
              <w:rPr>
                <w:rFonts w:hint="eastAsia" w:ascii="Times New Roman" w:hAnsi="Times New Roman" w:cs="Times New Roman" w:eastAsiaTheme="minorEastAsia"/>
                <w:color w:val="auto"/>
                <w:sz w:val="21"/>
                <w:szCs w:val="21"/>
                <w:lang w:val="en-US" w:eastAsia="zh-CN"/>
              </w:rPr>
              <w:t>15</w:t>
            </w:r>
          </w:p>
        </w:tc>
        <w:tc>
          <w:tcPr>
            <w:tcW w:w="1603" w:type="dxa"/>
            <w:vAlign w:val="center"/>
          </w:tcPr>
          <w:p w14:paraId="1BFF3781">
            <w:pPr>
              <w:widowControl/>
              <w:jc w:val="left"/>
              <w:textAlignment w:val="center"/>
              <w:rPr>
                <w:rStyle w:val="23"/>
                <w:rFonts w:hint="default" w:ascii="Times New Roman" w:hAnsi="Times New Roman" w:cs="Times New Roman"/>
                <w:color w:val="auto"/>
                <w:lang w:val="en-US" w:eastAsia="zh-CN" w:bidi="ar"/>
              </w:rPr>
            </w:pPr>
            <w:r>
              <w:rPr>
                <w:rStyle w:val="23"/>
                <w:rFonts w:hint="default" w:ascii="Times New Roman" w:hAnsi="Times New Roman" w:cs="Times New Roman"/>
                <w:color w:val="auto"/>
                <w:lang w:val="en-US" w:eastAsia="zh-CN" w:bidi="ar"/>
              </w:rPr>
              <w:t>中药配方颗粒国家药品标准查询</w:t>
            </w:r>
          </w:p>
        </w:tc>
        <w:tc>
          <w:tcPr>
            <w:tcW w:w="6976" w:type="dxa"/>
            <w:vAlign w:val="center"/>
          </w:tcPr>
          <w:p w14:paraId="3ED363DA">
            <w:pPr>
              <w:autoSpaceDE w:val="0"/>
              <w:autoSpaceDN w:val="0"/>
              <w:rPr>
                <w:rFonts w:hint="default" w:ascii="Times New Roman" w:hAnsi="Times New Roman" w:eastAsia="宋体" w:cs="Times New Roman"/>
                <w:color w:val="auto"/>
                <w:sz w:val="21"/>
                <w:szCs w:val="21"/>
                <w:lang w:val="en-US" w:eastAsia="zh-CN" w:bidi="ar"/>
              </w:rPr>
            </w:pPr>
            <w:r>
              <w:rPr>
                <w:rFonts w:hint="default" w:ascii="Times New Roman" w:hAnsi="Times New Roman" w:eastAsia="宋体" w:cs="Times New Roman"/>
                <w:color w:val="auto"/>
                <w:sz w:val="21"/>
                <w:szCs w:val="21"/>
                <w:lang w:val="en-US" w:eastAsia="zh-CN" w:bidi="ar"/>
              </w:rPr>
              <w:t>收录了国家药品监督管理局发布国家药典委员会审定的中药配方颗粒国家药品标准目录数据提供查询并下载PDF文件;收录数据从首批至今已正式颁布的中药配方颗粒国家药品标准316个;标准正文中特征图谱项所附对照图谱,下方标注的标准研究及复核中用到的色谱柱供标准执行时参考使用标准正文中亦采用对照药材或对照饮片出随行参照物，标准行中应综合研判。</w:t>
            </w:r>
          </w:p>
        </w:tc>
      </w:tr>
      <w:tr w14:paraId="3357F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725569C6">
            <w:pPr>
              <w:widowControl/>
              <w:numPr>
                <w:ilvl w:val="0"/>
                <w:numId w:val="0"/>
              </w:numPr>
              <w:ind w:left="0" w:firstLine="0"/>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16</w:t>
            </w:r>
          </w:p>
        </w:tc>
        <w:tc>
          <w:tcPr>
            <w:tcW w:w="1603" w:type="dxa"/>
            <w:vAlign w:val="center"/>
          </w:tcPr>
          <w:p w14:paraId="160B7420">
            <w:pPr>
              <w:widowControl/>
              <w:jc w:val="left"/>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临床诊疗知识库</w:t>
            </w:r>
          </w:p>
        </w:tc>
        <w:tc>
          <w:tcPr>
            <w:tcW w:w="6976" w:type="dxa"/>
            <w:vAlign w:val="center"/>
          </w:tcPr>
          <w:p w14:paraId="51601700">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1)疾病知识库</w:t>
            </w:r>
          </w:p>
          <w:p w14:paraId="5D7E25B2">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支持疾病医学术语知识库查询，包括疾病名、缩写、别名、ICD疾病代码概述、流行病学、病因、发病机制、临床表现、并发症、检验、检查、诊断、鉴别诊断、治疗、预防、预后项目。</w:t>
            </w:r>
          </w:p>
          <w:p w14:paraId="1AF06F2E">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(2)检验检查知识库</w:t>
            </w:r>
          </w:p>
          <w:p w14:paraId="3458C7BD">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检查知识库中包括检查名称、CD号、原理、临床意义、相关疾病等信息:检验知识库中分为临床血液学检验、临床体液检验、临床化学检验、临床免疫学检验、临床核酸和基因检验五大类，包括检验名称、ICD号、原理临床意义、相关疾病等信息!</w:t>
            </w:r>
          </w:p>
          <w:p w14:paraId="52C618C5">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(3)麻醉知识库</w:t>
            </w:r>
          </w:p>
          <w:p w14:paraId="3BED98BA">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按照临床分科，共收录了临床实用麻醉知识200余条，包括概述、术前管理麻醉前评估、麻醉前准备、麻醉前用药、麻醉选择、术中管理、麻醉术中检测、麻醉管理、麻醉方法、术后管理、恢复期管理、麻醉并发症、注意事项等内容，辅助麻醉医师在临床工作过程中的麻醉规范化。</w:t>
            </w:r>
          </w:p>
          <w:p w14:paraId="51052A65">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(4)护理知识库</w:t>
            </w:r>
          </w:p>
          <w:p w14:paraId="4A050400">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提供各科护理知识内容，包括护理概述、病因与发病机制、病理生理、临床表现、辅助检查、治疗要点、护理评估、护理诊断、预期目标、护理措施、护理评价、知识拓展等内容，辅助医务人员的临床医疗工作的各种操作规范化。</w:t>
            </w:r>
          </w:p>
          <w:p w14:paraId="5185A1B4">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(5)手术与操作规范知识库</w:t>
            </w:r>
          </w:p>
          <w:p w14:paraId="3BBC7578">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支持手术和操作规范知识查询，包括概述、准备、方法、适应症、禁忌症</w:t>
            </w:r>
          </w:p>
          <w:p w14:paraId="6E52EFDE">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步骤、注意事项、术后处理、手术风险、手术并发症，提供最相关疾病关联展示，手术切口类型:I类、II类、II类手术切口。</w:t>
            </w:r>
          </w:p>
          <w:p w14:paraId="0882DFC9">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(6)国家临床路径库、疾病指南和政府规定的慢性病病种</w:t>
            </w:r>
          </w:p>
          <w:p w14:paraId="614C4219">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可以根据发布时间等度查询卫健委颁布的临床路径查询，疾病指南，共收录了卫健委正式发布的临床路径内容，并支持下载PDF文件。</w:t>
            </w:r>
          </w:p>
          <w:p w14:paraId="66AFAFBE">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(7)常用医学公式</w:t>
            </w:r>
          </w:p>
          <w:p w14:paraId="55D0ECCC">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提供多种常用医学公式，包括:配药量公式、循环系统、儿科学、实验室检验、神经系统、呼吸系统、泌尿系统、营养、体液及电解质、临床常用单位换算、妇产科学、营养性疾病、实验标准化与质量控制、药理学。</w:t>
            </w:r>
          </w:p>
        </w:tc>
      </w:tr>
      <w:tr w14:paraId="64BAB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685" w:type="dxa"/>
            <w:vAlign w:val="center"/>
          </w:tcPr>
          <w:p w14:paraId="696EF4FE">
            <w:pPr>
              <w:widowControl/>
              <w:numPr>
                <w:ilvl w:val="0"/>
                <w:numId w:val="0"/>
              </w:numPr>
              <w:ind w:left="0" w:firstLine="0"/>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17</w:t>
            </w:r>
          </w:p>
        </w:tc>
        <w:tc>
          <w:tcPr>
            <w:tcW w:w="1603" w:type="dxa"/>
            <w:vAlign w:val="center"/>
          </w:tcPr>
          <w:p w14:paraId="42E54398">
            <w:pPr>
              <w:widowControl/>
              <w:jc w:val="left"/>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知识库的自定义功能</w:t>
            </w:r>
          </w:p>
        </w:tc>
        <w:tc>
          <w:tcPr>
            <w:tcW w:w="6976" w:type="dxa"/>
            <w:vAlign w:val="center"/>
          </w:tcPr>
          <w:p w14:paraId="617C871E">
            <w:pPr>
              <w:autoSpaceDE w:val="0"/>
              <w:autoSpaceDN w:val="0"/>
              <w:rPr>
                <w:rFonts w:hint="default" w:ascii="Times New Roman" w:hAnsi="Times New Roman" w:eastAsia="宋体" w:cs="Times New Roman"/>
                <w:color w:val="auto"/>
                <w:sz w:val="21"/>
                <w:szCs w:val="21"/>
                <w:lang w:eastAsia="zh-CN" w:bidi="ar"/>
              </w:rPr>
            </w:pPr>
            <w:r>
              <w:rPr>
                <w:rFonts w:hint="default" w:ascii="Times New Roman" w:hAnsi="Times New Roman" w:eastAsia="宋体" w:cs="Times New Roman"/>
                <w:color w:val="auto"/>
                <w:sz w:val="21"/>
                <w:szCs w:val="21"/>
                <w:lang w:eastAsia="zh-CN" w:bidi="ar"/>
              </w:rPr>
              <w:t>医疗机构可自定义自制制剂说明书、超说明书审批文件、微生物耐监测数据等。</w:t>
            </w:r>
          </w:p>
        </w:tc>
      </w:tr>
      <w:tr w14:paraId="19907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4" w:hRule="atLeast"/>
        </w:trPr>
        <w:tc>
          <w:tcPr>
            <w:tcW w:w="9264" w:type="dxa"/>
            <w:gridSpan w:val="3"/>
            <w:vAlign w:val="center"/>
          </w:tcPr>
          <w:p w14:paraId="2FB20F08">
            <w:pPr>
              <w:widowControl/>
              <w:textAlignment w:val="top"/>
              <w:rPr>
                <w:rFonts w:hint="default" w:ascii="Times New Roman" w:hAnsi="Times New Roman" w:cs="Times New Roman" w:eastAsiaTheme="minorEastAsia"/>
                <w:b/>
                <w:color w:val="auto"/>
                <w:sz w:val="21"/>
                <w:szCs w:val="21"/>
                <w:lang w:eastAsia="zh-CN"/>
              </w:rPr>
            </w:pPr>
            <w:r>
              <w:rPr>
                <w:rFonts w:hint="default" w:ascii="Times New Roman" w:hAnsi="Times New Roman" w:cs="Times New Roman" w:eastAsiaTheme="minorEastAsia"/>
                <w:b/>
                <w:color w:val="auto"/>
                <w:sz w:val="24"/>
                <w:szCs w:val="24"/>
                <w:lang w:eastAsia="zh-CN"/>
              </w:rPr>
              <w:t>（二）区域前置审方功能模块。</w:t>
            </w:r>
            <w:r>
              <w:rPr>
                <w:rFonts w:hint="default" w:ascii="Times New Roman" w:hAnsi="Times New Roman" w:cs="Times New Roman" w:eastAsiaTheme="minorEastAsia"/>
                <w:color w:val="auto"/>
                <w:sz w:val="21"/>
                <w:szCs w:val="21"/>
                <w:lang w:eastAsia="zh-CN"/>
              </w:rPr>
              <w:t>功能要求：医</w:t>
            </w:r>
            <w:r>
              <w:rPr>
                <w:rFonts w:hint="default" w:ascii="Times New Roman" w:hAnsi="Times New Roman" w:cs="Times New Roman" w:eastAsiaTheme="minorEastAsia"/>
                <w:color w:val="auto"/>
                <w:kern w:val="2"/>
                <w:sz w:val="21"/>
                <w:szCs w:val="21"/>
                <w:lang w:eastAsia="zh-CN"/>
              </w:rPr>
              <w:t>生开具处方或医嘱时，如有不合理的处方，系统自动提示医生，是否继续开具，而且系统规定好提示时限，如果医生在规定时间内接受系统提示，修改处方或医嘱，则原处方或医嘱不通过，医生重新开处方，系统对新开处方再一次进行审核，合理时可通过。如果医生在规定时间内没有及时修改系统强行通过，则此处方或医嘱转入药师人工审核模式，药师审核有问题则处方或医嘱返回医生工作站要求医生修改，修改</w:t>
            </w:r>
            <w:r>
              <w:rPr>
                <w:rFonts w:hint="default" w:ascii="Times New Roman" w:hAnsi="Times New Roman" w:cs="Times New Roman" w:eastAsiaTheme="minorEastAsia"/>
                <w:color w:val="auto"/>
                <w:sz w:val="21"/>
                <w:szCs w:val="21"/>
                <w:lang w:eastAsia="zh-CN"/>
              </w:rPr>
              <w:t>合理后即可发送给发药窗口进行调配发药。具体要求如下：</w:t>
            </w:r>
          </w:p>
        </w:tc>
      </w:tr>
      <w:tr w14:paraId="45E98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5E8DEA7B">
            <w:pPr>
              <w:widowControl/>
              <w:jc w:val="center"/>
              <w:textAlignment w:val="center"/>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lang w:eastAsia="zh-CN"/>
              </w:rPr>
              <w:t>1</w:t>
            </w:r>
          </w:p>
        </w:tc>
        <w:tc>
          <w:tcPr>
            <w:tcW w:w="1603" w:type="dxa"/>
            <w:vAlign w:val="center"/>
          </w:tcPr>
          <w:p w14:paraId="2483ED97">
            <w:pPr>
              <w:widowControl/>
              <w:textAlignment w:val="center"/>
              <w:rPr>
                <w:rFonts w:hint="default" w:ascii="Times New Roman" w:hAnsi="Times New Roman" w:cs="Times New Roman" w:eastAsiaTheme="minorEastAsia"/>
                <w:b/>
                <w:color w:val="auto"/>
                <w:sz w:val="24"/>
                <w:szCs w:val="24"/>
                <w:lang w:eastAsia="zh-CN"/>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处方（医嘱）审核流程</w:t>
            </w:r>
          </w:p>
        </w:tc>
        <w:tc>
          <w:tcPr>
            <w:tcW w:w="6976" w:type="dxa"/>
            <w:vAlign w:val="center"/>
          </w:tcPr>
          <w:p w14:paraId="7C471D71">
            <w:pPr>
              <w:widowControl/>
              <w:ind w:firstLine="210" w:firstLineChars="100"/>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医生开具处方（医嘱）后，审方系统先进行系统审查，无不合理用药问题的处方直接通过进入下一环节，由药师调配。或者问题严重程度较低审方系统自动审查出问题处方（医嘱）先提示医生，对系统审核没有通过的不合理处方医生没有及时修改，则转入药师界面由药师对这些问题处方（医嘱）进行人工审查，处方审查不通过，则医师不能打印处方，返回医生修改。</w:t>
            </w:r>
          </w:p>
          <w:p w14:paraId="54F8C481">
            <w:pPr>
              <w:widowControl/>
              <w:ind w:firstLine="420" w:firstLineChars="200"/>
              <w:textAlignment w:val="top"/>
              <w:rPr>
                <w:rFonts w:hint="default" w:ascii="Times New Roman" w:hAnsi="Times New Roman" w:cs="Times New Roman" w:eastAsiaTheme="minorEastAsia"/>
                <w:b/>
                <w:color w:val="auto"/>
                <w:sz w:val="24"/>
                <w:szCs w:val="24"/>
                <w:lang w:eastAsia="zh-CN"/>
              </w:rPr>
            </w:pPr>
            <w:r>
              <w:rPr>
                <w:rStyle w:val="23"/>
                <w:rFonts w:hint="default" w:ascii="Times New Roman" w:hAnsi="Times New Roman" w:cs="Times New Roman" w:eastAsiaTheme="minorEastAsia"/>
                <w:color w:val="auto"/>
                <w:lang w:eastAsia="zh-CN" w:bidi="ar"/>
              </w:rPr>
              <w:t>2）待审门诊处方信息以处方笺格式显示，待审住院医嘱还应显示病人性别、年龄、诊断、主要检查结果等详细信息。药师还可以查看系统审查结果详细信息，作为人工审查的参考。</w:t>
            </w:r>
          </w:p>
        </w:tc>
      </w:tr>
      <w:tr w14:paraId="5DDB8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0DE9702">
            <w:pPr>
              <w:widowControl/>
              <w:jc w:val="center"/>
              <w:textAlignment w:val="center"/>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lang w:eastAsia="zh-CN"/>
              </w:rPr>
              <w:t>2</w:t>
            </w:r>
          </w:p>
        </w:tc>
        <w:tc>
          <w:tcPr>
            <w:tcW w:w="1603" w:type="dxa"/>
            <w:vAlign w:val="center"/>
          </w:tcPr>
          <w:p w14:paraId="5139280F">
            <w:pPr>
              <w:widowControl/>
              <w:textAlignment w:val="center"/>
              <w:rPr>
                <w:rFonts w:hint="default" w:ascii="Times New Roman" w:hAnsi="Times New Roman" w:cs="Times New Roman" w:eastAsiaTheme="minorEastAsia"/>
                <w:b/>
                <w:color w:val="auto"/>
                <w:sz w:val="24"/>
                <w:szCs w:val="24"/>
                <w:lang w:eastAsia="zh-CN"/>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处方审核规则</w:t>
            </w:r>
          </w:p>
        </w:tc>
        <w:tc>
          <w:tcPr>
            <w:tcW w:w="6976" w:type="dxa"/>
            <w:vAlign w:val="center"/>
          </w:tcPr>
          <w:p w14:paraId="6DDA7455">
            <w:pPr>
              <w:pStyle w:val="3"/>
              <w:keepNext w:val="0"/>
              <w:keepLines w:val="0"/>
              <w:widowControl/>
              <w:shd w:val="clear" w:color="auto" w:fill="FFFFFF"/>
              <w:spacing w:before="0" w:after="0" w:line="240" w:lineRule="auto"/>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b w:val="0"/>
                <w:bCs w:val="0"/>
                <w:color w:val="auto"/>
                <w:kern w:val="0"/>
                <w:lang w:eastAsia="zh-CN" w:bidi="ar"/>
              </w:rPr>
              <w:t>根据以下文件要求对处方或医嘱的开具进行审核。国卫办医发〔2018]14号《关于印发医疗机构处方审核规范的通知》文件，对处方进行合法性、规范性和适宜性审核；根据《处方管理办法》（卫生部令 第53号）要求，对普通处方用量、麻醉药品、第一类精神药品和第二类精神药品、毒性药品处方用量规定及处方权限进行审核；《长期处方管理规范（试行）》国卫办医发（2021〕17号文要求，对慢性病患者开具长期处方规定进行审核；《抗菌药物临床应用管理办法》（2012年卫生部令第84号）文对抗菌药物分级管理要求结合本院分级目录进行规范和处方权限审核。抗肿瘤药物开具时分级管理与处方权限审核。</w:t>
            </w:r>
          </w:p>
        </w:tc>
      </w:tr>
      <w:tr w14:paraId="6FFA0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4BBE2D8C">
            <w:pPr>
              <w:widowControl/>
              <w:jc w:val="center"/>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3</w:t>
            </w:r>
          </w:p>
        </w:tc>
        <w:tc>
          <w:tcPr>
            <w:tcW w:w="1603" w:type="dxa"/>
            <w:vAlign w:val="center"/>
          </w:tcPr>
          <w:p w14:paraId="7F6503E3">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系统审查</w:t>
            </w:r>
          </w:p>
        </w:tc>
        <w:tc>
          <w:tcPr>
            <w:tcW w:w="6976" w:type="dxa"/>
            <w:vAlign w:val="center"/>
          </w:tcPr>
          <w:p w14:paraId="7AB92573">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医生开具新处方或修改处方后或者传送到审方平台后，审方系统先进行系统审查，无不合理用药问题或者问题严重程度较低的处方直接通过进入下一环节，无需药师再人工审查。</w:t>
            </w:r>
          </w:p>
        </w:tc>
      </w:tr>
      <w:tr w14:paraId="520D4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20A37ADD">
            <w:pPr>
              <w:widowControl/>
              <w:jc w:val="center"/>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4</w:t>
            </w:r>
          </w:p>
        </w:tc>
        <w:tc>
          <w:tcPr>
            <w:tcW w:w="1603" w:type="dxa"/>
            <w:vAlign w:val="center"/>
          </w:tcPr>
          <w:p w14:paraId="74C19362">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待审处方提示</w:t>
            </w:r>
          </w:p>
        </w:tc>
        <w:tc>
          <w:tcPr>
            <w:tcW w:w="6976" w:type="dxa"/>
            <w:vAlign w:val="center"/>
          </w:tcPr>
          <w:p w14:paraId="16C781D3">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提示药师有待审查新处方或待审查已修改处方。</w:t>
            </w:r>
          </w:p>
        </w:tc>
      </w:tr>
      <w:tr w14:paraId="58C02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75F02782">
            <w:pPr>
              <w:widowControl/>
              <w:jc w:val="center"/>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5</w:t>
            </w:r>
          </w:p>
        </w:tc>
        <w:tc>
          <w:tcPr>
            <w:tcW w:w="1603" w:type="dxa"/>
            <w:vAlign w:val="center"/>
          </w:tcPr>
          <w:p w14:paraId="4661176D">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批量审查</w:t>
            </w:r>
          </w:p>
        </w:tc>
        <w:tc>
          <w:tcPr>
            <w:tcW w:w="6976" w:type="dxa"/>
            <w:vAlign w:val="center"/>
          </w:tcPr>
          <w:p w14:paraId="0A6046A0">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药师结合处方详细信息和系统审查结果信息审查完后，可选择多张待审查新处方（医嘱）批量通过人工审查。</w:t>
            </w:r>
          </w:p>
        </w:tc>
      </w:tr>
      <w:tr w14:paraId="428CC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58E5A570">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6</w:t>
            </w:r>
          </w:p>
        </w:tc>
        <w:tc>
          <w:tcPr>
            <w:tcW w:w="1603" w:type="dxa"/>
            <w:vAlign w:val="center"/>
          </w:tcPr>
          <w:p w14:paraId="49C37C65">
            <w:pPr>
              <w:widowControl/>
              <w:jc w:val="center"/>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 xml:space="preserve">药师医生实时互动 </w:t>
            </w:r>
          </w:p>
        </w:tc>
        <w:tc>
          <w:tcPr>
            <w:tcW w:w="6976" w:type="dxa"/>
            <w:vAlign w:val="center"/>
          </w:tcPr>
          <w:p w14:paraId="2E244431">
            <w:pPr>
              <w:widowControl/>
              <w:jc w:val="center"/>
              <w:textAlignment w:val="center"/>
              <w:rPr>
                <w:rStyle w:val="23"/>
                <w:rFonts w:hint="default" w:ascii="Times New Roman" w:hAnsi="Times New Roman" w:cs="Times New Roman" w:eastAsiaTheme="minorEastAsia"/>
                <w:color w:val="auto"/>
                <w:lang w:eastAsia="zh-CN" w:bidi="ar"/>
              </w:rPr>
            </w:pPr>
            <w:r>
              <w:rPr>
                <w:rStyle w:val="23"/>
                <w:rFonts w:hint="eastAsia" w:ascii="Times New Roman" w:hAnsi="Times New Roman" w:cs="Times New Roman" w:eastAsiaTheme="minorEastAsia"/>
                <w:color w:val="auto"/>
                <w:lang w:eastAsia="zh-CN" w:bidi="ar"/>
              </w:rPr>
              <w:t>关</w:t>
            </w:r>
            <w:r>
              <w:rPr>
                <w:rStyle w:val="23"/>
                <w:rFonts w:hint="default" w:ascii="Times New Roman" w:hAnsi="Times New Roman" w:cs="Times New Roman" w:eastAsiaTheme="minorEastAsia"/>
                <w:color w:val="auto"/>
                <w:lang w:eastAsia="zh-CN" w:bidi="ar"/>
              </w:rPr>
              <w:t>于药师人工审查未通过的处方。系统为药师提供不合理用药问题描述模板，药师可以在此基础上编辑不通过处方的详细描述发给医生，医生修改处方信息后，处方重新进入系统审查-人工审查-修改处方环节，直至处方通过。同时，药师可以根据具体情况赋予医生处方强制执行权限。</w:t>
            </w:r>
          </w:p>
        </w:tc>
      </w:tr>
      <w:tr w14:paraId="72690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02CE4CD0">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7</w:t>
            </w:r>
          </w:p>
        </w:tc>
        <w:tc>
          <w:tcPr>
            <w:tcW w:w="1603" w:type="dxa"/>
            <w:vAlign w:val="center"/>
          </w:tcPr>
          <w:p w14:paraId="6767182B">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集成检验、检查、手术、病程记录信息，辅助审方</w:t>
            </w:r>
          </w:p>
        </w:tc>
        <w:tc>
          <w:tcPr>
            <w:tcW w:w="6976" w:type="dxa"/>
            <w:vAlign w:val="center"/>
          </w:tcPr>
          <w:p w14:paraId="51056D93">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rPr>
              <w:t>药师人工审方时，可通过快速从电子病历上查阅到审</w:t>
            </w:r>
            <w:r>
              <w:rPr>
                <w:rStyle w:val="23"/>
                <w:rFonts w:hint="default" w:ascii="Times New Roman" w:hAnsi="Times New Roman" w:cs="Times New Roman" w:eastAsiaTheme="minorEastAsia"/>
                <w:color w:val="auto"/>
                <w:lang w:eastAsia="zh-CN"/>
              </w:rPr>
              <w:t>方时患者的相应检验、检查、手术记录和病程记录信息，药师通过查阅患者相关信息，能更精确的进行审方。应该与医院HIS、LIS、PA</w:t>
            </w:r>
            <w:r>
              <w:rPr>
                <w:rStyle w:val="23"/>
                <w:rFonts w:hint="default" w:ascii="Times New Roman" w:hAnsi="Times New Roman" w:cs="Times New Roman" w:eastAsiaTheme="minorEastAsia"/>
                <w:color w:val="auto"/>
                <w:lang w:val="en-US" w:eastAsia="zh-CN"/>
              </w:rPr>
              <w:t>C</w:t>
            </w:r>
            <w:r>
              <w:rPr>
                <w:rStyle w:val="23"/>
                <w:rFonts w:hint="default" w:ascii="Times New Roman" w:hAnsi="Times New Roman" w:cs="Times New Roman" w:eastAsiaTheme="minorEastAsia"/>
                <w:color w:val="auto"/>
                <w:lang w:eastAsia="zh-CN"/>
              </w:rPr>
              <w:t>S系统对接。</w:t>
            </w:r>
          </w:p>
        </w:tc>
      </w:tr>
      <w:tr w14:paraId="5E108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685" w:type="dxa"/>
            <w:vAlign w:val="center"/>
          </w:tcPr>
          <w:p w14:paraId="1853DDD8">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8</w:t>
            </w:r>
          </w:p>
        </w:tc>
        <w:tc>
          <w:tcPr>
            <w:tcW w:w="1603" w:type="dxa"/>
            <w:vAlign w:val="center"/>
          </w:tcPr>
          <w:p w14:paraId="67295E56">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处方状态标记</w:t>
            </w:r>
          </w:p>
        </w:tc>
        <w:tc>
          <w:tcPr>
            <w:tcW w:w="6976" w:type="dxa"/>
            <w:vAlign w:val="center"/>
          </w:tcPr>
          <w:p w14:paraId="576827BF">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处方最终通过审查后，能从审方软件中查到不同情况下通过的处方，以及记录通过处方的每个修改版本的情况，系统给这些处方会添加不同的标记如“系统通过”、“药师不通过”等。</w:t>
            </w:r>
          </w:p>
        </w:tc>
      </w:tr>
      <w:tr w14:paraId="208F5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3215EB2A">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9</w:t>
            </w:r>
          </w:p>
        </w:tc>
        <w:tc>
          <w:tcPr>
            <w:tcW w:w="1603" w:type="dxa"/>
            <w:vAlign w:val="center"/>
          </w:tcPr>
          <w:p w14:paraId="6B70E1FD">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实时查看通过处方信息</w:t>
            </w:r>
          </w:p>
        </w:tc>
        <w:tc>
          <w:tcPr>
            <w:tcW w:w="6976" w:type="dxa"/>
            <w:vAlign w:val="center"/>
          </w:tcPr>
          <w:p w14:paraId="1D801F24">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经过系统审查、药师人工审查、药师医生沟通等多个环节后，处方通过并进入了下一环节。药师可在审方界面实时查看当天已通过处方的详细信息</w:t>
            </w:r>
          </w:p>
        </w:tc>
      </w:tr>
      <w:tr w14:paraId="0E6FE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354AA90A">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10</w:t>
            </w:r>
          </w:p>
        </w:tc>
        <w:tc>
          <w:tcPr>
            <w:tcW w:w="1603" w:type="dxa"/>
            <w:vAlign w:val="center"/>
          </w:tcPr>
          <w:p w14:paraId="76925012">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审方时间设置</w:t>
            </w:r>
          </w:p>
        </w:tc>
        <w:tc>
          <w:tcPr>
            <w:tcW w:w="6976" w:type="dxa"/>
            <w:vAlign w:val="center"/>
          </w:tcPr>
          <w:p w14:paraId="1B6EC9D7">
            <w:pPr>
              <w:widowControl/>
              <w:textAlignment w:val="center"/>
              <w:rPr>
                <w:rStyle w:val="23"/>
                <w:rFonts w:hint="default" w:ascii="Times New Roman" w:hAnsi="Times New Roman" w:cs="Times New Roman" w:eastAsiaTheme="minorEastAsia"/>
                <w:color w:val="auto"/>
                <w:lang w:eastAsia="zh-CN" w:bidi="ar"/>
              </w:rPr>
            </w:pPr>
            <w:r>
              <w:rPr>
                <w:rStyle w:val="23"/>
                <w:rFonts w:hint="eastAsia" w:ascii="Times New Roman" w:hAnsi="Times New Roman" w:cs="Times New Roman" w:eastAsiaTheme="minorEastAsia"/>
                <w:color w:val="auto"/>
                <w:lang w:eastAsia="zh-CN" w:bidi="ar"/>
              </w:rPr>
              <w:t>经过系统审查、药师人工审查、药师医生沟通等多个环节后，处方通过并进入了下一环节。药师可在审方界面实时查看当天已通过处方的详细信息</w:t>
            </w:r>
          </w:p>
        </w:tc>
      </w:tr>
      <w:tr w14:paraId="04F31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20568BA6">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11</w:t>
            </w:r>
          </w:p>
        </w:tc>
        <w:tc>
          <w:tcPr>
            <w:tcW w:w="1603" w:type="dxa"/>
            <w:vAlign w:val="center"/>
          </w:tcPr>
          <w:p w14:paraId="2A06F4A7">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按科室设置审方超时是否自动通过设置</w:t>
            </w:r>
          </w:p>
        </w:tc>
        <w:tc>
          <w:tcPr>
            <w:tcW w:w="6976" w:type="dxa"/>
            <w:vAlign w:val="center"/>
          </w:tcPr>
          <w:p w14:paraId="61B8C5A3">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支持可根据医院特殊情况，针对科室进行设置审方超时是否自动通过设置</w:t>
            </w:r>
          </w:p>
        </w:tc>
      </w:tr>
      <w:tr w14:paraId="253C4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2637F8E5">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12</w:t>
            </w:r>
          </w:p>
        </w:tc>
        <w:tc>
          <w:tcPr>
            <w:tcW w:w="1603" w:type="dxa"/>
            <w:vAlign w:val="center"/>
          </w:tcPr>
          <w:p w14:paraId="237E0A55">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审方干预自定义</w:t>
            </w:r>
          </w:p>
        </w:tc>
        <w:tc>
          <w:tcPr>
            <w:tcW w:w="6976" w:type="dxa"/>
            <w:vAlign w:val="center"/>
          </w:tcPr>
          <w:p w14:paraId="0E1D58A0">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w:t>
            </w:r>
            <w:r>
              <w:rPr>
                <w:rStyle w:val="23"/>
                <w:rFonts w:hint="eastAsia" w:ascii="Times New Roman" w:hAnsi="Times New Roman" w:cs="Times New Roman" w:eastAsiaTheme="minorEastAsia"/>
                <w:color w:val="auto"/>
                <w:lang w:eastAsia="zh-CN" w:bidi="ar"/>
              </w:rPr>
              <w:t>为</w:t>
            </w:r>
            <w:r>
              <w:rPr>
                <w:rStyle w:val="23"/>
                <w:rFonts w:hint="default" w:ascii="Times New Roman" w:hAnsi="Times New Roman" w:cs="Times New Roman" w:eastAsiaTheme="minorEastAsia"/>
                <w:color w:val="auto"/>
                <w:lang w:eastAsia="zh-CN" w:bidi="ar"/>
              </w:rPr>
              <w:t>了贴合医院实际需要，审方系统为用户提供审方干预自定义功能。用户可以设置审方时限即超过规定时限，待审查处方自动通过，严重程度处方例外，避免患者等待时间过长。</w:t>
            </w:r>
          </w:p>
          <w:p w14:paraId="0C9966EF">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 xml:space="preserve">2)用户可以设置需要药师人工审查的问题处方(医嘱)的问题严重程度和审查项目。系统审查后，问题严重程度低的处方(医嘱)直接通过，药只审查问题严重程度高的问题处方(医嘱)即可，减轻药师工作量。 </w:t>
            </w:r>
          </w:p>
          <w:p w14:paraId="15745E41">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3)可将任意医生、疾病、药品设置为重点关注，包含重点关注信息的处方由药师进行全面审查。</w:t>
            </w:r>
          </w:p>
          <w:p w14:paraId="7F27FB86">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4)用户可根据实际情况对药师是否可以赋予医生强制执行权限进行设置</w:t>
            </w:r>
          </w:p>
        </w:tc>
      </w:tr>
      <w:tr w14:paraId="2F602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36617D43">
            <w:pPr>
              <w:widowControl/>
              <w:jc w:val="center"/>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13</w:t>
            </w:r>
          </w:p>
        </w:tc>
        <w:tc>
          <w:tcPr>
            <w:tcW w:w="1603" w:type="dxa"/>
            <w:vAlign w:val="center"/>
          </w:tcPr>
          <w:p w14:paraId="281A8B31">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双签模式</w:t>
            </w:r>
          </w:p>
        </w:tc>
        <w:tc>
          <w:tcPr>
            <w:tcW w:w="6976" w:type="dxa"/>
            <w:vAlign w:val="center"/>
          </w:tcPr>
          <w:p w14:paraId="1606A8CC">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可设置双签模式，如所有任务医生双签药师都需审核、所有可双签通过的处方医嘱，需要药师确认允许双签通过、医生的界面就会出现双签通过的按钮，需要医生确认，系统会记录双签通过的时间与状态，便于后续点评与用药做跟踪服务。</w:t>
            </w:r>
          </w:p>
        </w:tc>
      </w:tr>
      <w:tr w14:paraId="7DFEF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6892F558">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14</w:t>
            </w:r>
          </w:p>
        </w:tc>
        <w:tc>
          <w:tcPr>
            <w:tcW w:w="1603" w:type="dxa"/>
            <w:vAlign w:val="center"/>
          </w:tcPr>
          <w:p w14:paraId="51E16EA2">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审方消息提示</w:t>
            </w:r>
          </w:p>
        </w:tc>
        <w:tc>
          <w:tcPr>
            <w:tcW w:w="6976" w:type="dxa"/>
            <w:vAlign w:val="center"/>
          </w:tcPr>
          <w:p w14:paraId="365EC041">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1)声音提示:可声音提示药师有待审查新处方(医嘱)，提示音可设置</w:t>
            </w:r>
          </w:p>
          <w:p w14:paraId="17459160">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2)倒计时提醒:监测界面显示任务剩余时间，并提供任务倒计时。</w:t>
            </w:r>
          </w:p>
        </w:tc>
      </w:tr>
      <w:tr w14:paraId="60703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01421BF1">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15</w:t>
            </w:r>
          </w:p>
        </w:tc>
        <w:tc>
          <w:tcPr>
            <w:tcW w:w="1603" w:type="dxa"/>
            <w:vAlign w:val="center"/>
          </w:tcPr>
          <w:p w14:paraId="09349681">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处方复审功能</w:t>
            </w:r>
          </w:p>
        </w:tc>
        <w:tc>
          <w:tcPr>
            <w:tcW w:w="6976" w:type="dxa"/>
            <w:vAlign w:val="center"/>
          </w:tcPr>
          <w:p w14:paraId="3F2DD9EB">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已审患者重新审方功能：药师可对已审核病人所有医嘱进行重新审核分析，方便药师后续核对病人医嘱问题。</w:t>
            </w:r>
          </w:p>
        </w:tc>
      </w:tr>
      <w:tr w14:paraId="42885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7F30CF1C">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16</w:t>
            </w:r>
          </w:p>
        </w:tc>
        <w:tc>
          <w:tcPr>
            <w:tcW w:w="1603" w:type="dxa"/>
            <w:vAlign w:val="center"/>
          </w:tcPr>
          <w:p w14:paraId="58A8FD04">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已审处方(医嘱)查看功能功能</w:t>
            </w:r>
          </w:p>
        </w:tc>
        <w:tc>
          <w:tcPr>
            <w:tcW w:w="6976" w:type="dxa"/>
            <w:vAlign w:val="center"/>
          </w:tcPr>
          <w:p w14:paraId="0C910015">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可查询药师已审核的处方(医嘱)，并可以修改已审处方(医嘱)的审核状态(通过、不通过)。</w:t>
            </w:r>
          </w:p>
        </w:tc>
      </w:tr>
      <w:tr w14:paraId="00179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2525619F">
            <w:pPr>
              <w:widowControl/>
              <w:jc w:val="center"/>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17</w:t>
            </w:r>
          </w:p>
        </w:tc>
        <w:tc>
          <w:tcPr>
            <w:tcW w:w="1603" w:type="dxa"/>
            <w:vAlign w:val="center"/>
          </w:tcPr>
          <w:p w14:paraId="1738834A">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自动干预模式</w:t>
            </w:r>
          </w:p>
        </w:tc>
        <w:tc>
          <w:tcPr>
            <w:tcW w:w="6976" w:type="dxa"/>
            <w:vAlign w:val="center"/>
          </w:tcPr>
          <w:p w14:paraId="25A25A1F">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用户可设置自动干预模式，药师不在岗时，系统自动干预，支持全院和分科室设置。</w:t>
            </w:r>
          </w:p>
        </w:tc>
      </w:tr>
      <w:tr w14:paraId="4FC3C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7E1E99EE">
            <w:pPr>
              <w:widowControl/>
              <w:jc w:val="center"/>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18</w:t>
            </w:r>
          </w:p>
        </w:tc>
        <w:tc>
          <w:tcPr>
            <w:tcW w:w="1603" w:type="dxa"/>
            <w:vAlign w:val="center"/>
          </w:tcPr>
          <w:p w14:paraId="250F14D7">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统计分析功能</w:t>
            </w:r>
          </w:p>
        </w:tc>
        <w:tc>
          <w:tcPr>
            <w:tcW w:w="6976" w:type="dxa"/>
            <w:vAlign w:val="center"/>
          </w:tcPr>
          <w:p w14:paraId="47E10554">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系统在药师进行审方干预时，可以对药师干预结果数据进行自动采集和保存，并能提供全面的药师干预结果的统计和分析。用户可以根据需要设定统计条件和统计范围，能生成全院整体情况统计表、药师个人情况统计表被干预排名表(医生、科室)等报表，为医院的相关部门分析研究和管理药师审方干预情况提供依据。同时具备自定义统计报表的功能。</w:t>
            </w:r>
          </w:p>
        </w:tc>
      </w:tr>
      <w:tr w14:paraId="7F2B7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77C57883">
            <w:pPr>
              <w:widowControl/>
              <w:jc w:val="center"/>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19</w:t>
            </w:r>
          </w:p>
        </w:tc>
        <w:tc>
          <w:tcPr>
            <w:tcW w:w="1603" w:type="dxa"/>
            <w:vAlign w:val="center"/>
          </w:tcPr>
          <w:p w14:paraId="542A16AC">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处方查询功能</w:t>
            </w:r>
          </w:p>
        </w:tc>
        <w:tc>
          <w:tcPr>
            <w:tcW w:w="6976" w:type="dxa"/>
            <w:vAlign w:val="center"/>
          </w:tcPr>
          <w:p w14:paraId="6538AA54">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用户可以查看历史处方详细信息和药师干预的详细记录。</w:t>
            </w:r>
          </w:p>
        </w:tc>
      </w:tr>
      <w:tr w14:paraId="5FC5B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79F4C764">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20</w:t>
            </w:r>
          </w:p>
        </w:tc>
        <w:tc>
          <w:tcPr>
            <w:tcW w:w="1603" w:type="dxa"/>
            <w:vAlign w:val="center"/>
          </w:tcPr>
          <w:p w14:paraId="486E4632">
            <w:pPr>
              <w:widowControl/>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收藏功能</w:t>
            </w:r>
          </w:p>
        </w:tc>
        <w:tc>
          <w:tcPr>
            <w:tcW w:w="6976" w:type="dxa"/>
            <w:vAlign w:val="center"/>
          </w:tcPr>
          <w:p w14:paraId="32994BC4">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审方界面支持处方收藏功能，点击“收藏”会弹出收藏分组页面，选择收藏分组，将会纳人相应组别中，同时可添加/修改管理收藏分组;处方收藏后，可在我的收藏栏目中查看到自己收藏的处方，便于日后查询调阅与教用例。</w:t>
            </w:r>
          </w:p>
        </w:tc>
      </w:tr>
      <w:tr w14:paraId="5C471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7023C211">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21</w:t>
            </w:r>
          </w:p>
        </w:tc>
        <w:tc>
          <w:tcPr>
            <w:tcW w:w="1603" w:type="dxa"/>
            <w:vAlign w:val="center"/>
          </w:tcPr>
          <w:p w14:paraId="66966D17">
            <w:pPr>
              <w:widowControl/>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我的收藏</w:t>
            </w:r>
          </w:p>
        </w:tc>
        <w:tc>
          <w:tcPr>
            <w:tcW w:w="6976" w:type="dxa"/>
            <w:vAlign w:val="center"/>
          </w:tcPr>
          <w:p w14:paraId="61904C14">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(1)门诊处方收藏查询:可按日期、患者姓名、科室、医生、审核药师、审核状态、收藏栏目、病案号进行查询我的收藏处方内容，便于日后查询调阅与带教用例。</w:t>
            </w:r>
          </w:p>
          <w:p w14:paraId="472DF585">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(2)住院医嘱收藏查询:可按日期、患者姓名、科室、医生、审核药师、审核状态、收藏栏目、病案号进行查询我的收藏医嘱内容，便于日后查询调阅与带教用例。</w:t>
            </w:r>
          </w:p>
        </w:tc>
      </w:tr>
      <w:tr w14:paraId="37599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4ABBF84C">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22</w:t>
            </w:r>
          </w:p>
        </w:tc>
        <w:tc>
          <w:tcPr>
            <w:tcW w:w="1603" w:type="dxa"/>
            <w:vAlign w:val="center"/>
          </w:tcPr>
          <w:p w14:paraId="2D018169">
            <w:pPr>
              <w:widowControl/>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我要离开</w:t>
            </w:r>
          </w:p>
        </w:tc>
        <w:tc>
          <w:tcPr>
            <w:tcW w:w="6976" w:type="dxa"/>
            <w:vAlign w:val="center"/>
          </w:tcPr>
          <w:p w14:paraId="1FC0956B">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当审方药师临时有事，不在审方岗位时，可点击“我要离开”，系统会医</w:t>
            </w:r>
          </w:p>
          <w:p w14:paraId="795FE17C">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生等待审核时间设置为较短的等待时间。避免医生长时间等待，药师又不在审方岗位，浪费医生时间。</w:t>
            </w:r>
          </w:p>
        </w:tc>
      </w:tr>
      <w:tr w14:paraId="18E1F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6414719F">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23</w:t>
            </w:r>
          </w:p>
        </w:tc>
        <w:tc>
          <w:tcPr>
            <w:tcW w:w="1603" w:type="dxa"/>
            <w:vAlign w:val="center"/>
          </w:tcPr>
          <w:p w14:paraId="167A0CC4">
            <w:pPr>
              <w:widowControl/>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中药处方前置审核栏目</w:t>
            </w:r>
          </w:p>
        </w:tc>
        <w:tc>
          <w:tcPr>
            <w:tcW w:w="6976" w:type="dxa"/>
            <w:vAlign w:val="center"/>
          </w:tcPr>
          <w:p w14:paraId="12598EDA">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可将门诊/住院的中药处方单独开设审方栏目，并将审核权限设置给专业审核中药处方/医嘱的审方药师进行审核。</w:t>
            </w:r>
          </w:p>
        </w:tc>
      </w:tr>
      <w:tr w14:paraId="6A56A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31C62C8F">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24</w:t>
            </w:r>
          </w:p>
        </w:tc>
        <w:tc>
          <w:tcPr>
            <w:tcW w:w="1603" w:type="dxa"/>
            <w:vAlign w:val="center"/>
          </w:tcPr>
          <w:p w14:paraId="42C9F5EF">
            <w:pPr>
              <w:widowControl/>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处方审核率统计表</w:t>
            </w:r>
          </w:p>
        </w:tc>
        <w:tc>
          <w:tcPr>
            <w:tcW w:w="6976" w:type="dxa"/>
            <w:vAlign w:val="center"/>
          </w:tcPr>
          <w:p w14:paraId="03E1B9A7">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时间、门诊/住院条件统计查询处方/医嘱审核统计表，报表显示包括:处方数、问题处方数、审核总数、人工审方数、处方审核率、人工审方率、问题处方总人次数、人工审核人次数、人工审方率(按人次计算)，并可导出 EXCEL 数据表。</w:t>
            </w:r>
          </w:p>
        </w:tc>
      </w:tr>
      <w:tr w14:paraId="7D76F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2A98770F">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25</w:t>
            </w:r>
          </w:p>
        </w:tc>
        <w:tc>
          <w:tcPr>
            <w:tcW w:w="1603" w:type="dxa"/>
            <w:vAlign w:val="center"/>
          </w:tcPr>
          <w:p w14:paraId="6E840949">
            <w:pPr>
              <w:widowControl/>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处方审核状态统计表</w:t>
            </w:r>
          </w:p>
        </w:tc>
        <w:tc>
          <w:tcPr>
            <w:tcW w:w="6976" w:type="dxa"/>
            <w:vAlign w:val="center"/>
          </w:tcPr>
          <w:p w14:paraId="42499995">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按时间、门诊/住院条件统计查询处方/医嘱审核状态统计表,报表显示包括:科室、通过数、签名通过数、不通过数、自动通过数、自动不通过数，并可导出 EXCEL 数据表。</w:t>
            </w:r>
          </w:p>
        </w:tc>
      </w:tr>
      <w:tr w14:paraId="59C69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65E9B621">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default" w:ascii="Times New Roman" w:hAnsi="Times New Roman" w:cs="Times New Roman" w:eastAsiaTheme="minorEastAsia"/>
                <w:color w:val="auto"/>
                <w:lang w:eastAsia="zh-CN" w:bidi="ar"/>
              </w:rPr>
              <w:t>2</w:t>
            </w:r>
            <w:r>
              <w:rPr>
                <w:rStyle w:val="23"/>
                <w:rFonts w:hint="eastAsia" w:ascii="Times New Roman" w:hAnsi="Times New Roman" w:cs="Times New Roman" w:eastAsiaTheme="minorEastAsia"/>
                <w:color w:val="auto"/>
                <w:lang w:val="en-US" w:eastAsia="zh-CN" w:bidi="ar"/>
              </w:rPr>
              <w:t>6</w:t>
            </w:r>
          </w:p>
        </w:tc>
        <w:tc>
          <w:tcPr>
            <w:tcW w:w="1603" w:type="dxa"/>
            <w:vAlign w:val="center"/>
          </w:tcPr>
          <w:p w14:paraId="039ADA81">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处方干预即相关统计表</w:t>
            </w:r>
          </w:p>
        </w:tc>
        <w:tc>
          <w:tcPr>
            <w:tcW w:w="6976" w:type="dxa"/>
            <w:vAlign w:val="center"/>
          </w:tcPr>
          <w:p w14:paraId="0716559A">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按时间、门诊</w:t>
            </w:r>
            <w:r>
              <w:rPr>
                <w:rStyle w:val="28"/>
                <w:rFonts w:hint="default" w:ascii="Times New Roman" w:hAnsi="Times New Roman" w:cs="Times New Roman" w:eastAsiaTheme="minorEastAsia"/>
                <w:color w:val="auto"/>
                <w:lang w:eastAsia="zh-CN" w:bidi="ar"/>
              </w:rPr>
              <w:t>/</w:t>
            </w:r>
            <w:r>
              <w:rPr>
                <w:rStyle w:val="23"/>
                <w:rFonts w:hint="default" w:ascii="Times New Roman" w:hAnsi="Times New Roman" w:cs="Times New Roman" w:eastAsiaTheme="minorEastAsia"/>
                <w:color w:val="auto"/>
                <w:lang w:eastAsia="zh-CN" w:bidi="ar"/>
              </w:rPr>
              <w:t>住院条件统计查询处方</w:t>
            </w:r>
            <w:r>
              <w:rPr>
                <w:rStyle w:val="28"/>
                <w:rFonts w:hint="default" w:ascii="Times New Roman" w:hAnsi="Times New Roman" w:cs="Times New Roman" w:eastAsiaTheme="minorEastAsia"/>
                <w:color w:val="auto"/>
                <w:lang w:eastAsia="zh-CN" w:bidi="ar"/>
              </w:rPr>
              <w:t>/</w:t>
            </w:r>
            <w:r>
              <w:rPr>
                <w:rStyle w:val="23"/>
                <w:rFonts w:hint="default" w:ascii="Times New Roman" w:hAnsi="Times New Roman" w:cs="Times New Roman" w:eastAsiaTheme="minorEastAsia"/>
                <w:color w:val="auto"/>
                <w:lang w:eastAsia="zh-CN" w:bidi="ar"/>
              </w:rPr>
              <w:t>医嘱审核干预统计表，报表显示包括：科室、处方总数、审方总数、干预数（减去双签通过，自动通过）、干预率，并可导出</w:t>
            </w:r>
            <w:r>
              <w:rPr>
                <w:rStyle w:val="28"/>
                <w:rFonts w:hint="default" w:ascii="Times New Roman" w:hAnsi="Times New Roman" w:cs="Times New Roman" w:eastAsiaTheme="minorEastAsia"/>
                <w:color w:val="auto"/>
                <w:lang w:eastAsia="zh-CN" w:bidi="ar"/>
              </w:rPr>
              <w:t>EXCEL</w:t>
            </w:r>
            <w:r>
              <w:rPr>
                <w:rStyle w:val="23"/>
                <w:rFonts w:hint="default" w:ascii="Times New Roman" w:hAnsi="Times New Roman" w:cs="Times New Roman" w:eastAsiaTheme="minorEastAsia"/>
                <w:color w:val="auto"/>
                <w:lang w:eastAsia="zh-CN" w:bidi="ar"/>
              </w:rPr>
              <w:t>数据表。科室审方情况医</w:t>
            </w:r>
            <w:r>
              <w:rPr>
                <w:rStyle w:val="23"/>
                <w:rFonts w:hint="default" w:ascii="Times New Roman" w:hAnsi="Times New Roman" w:cs="Times New Roman" w:eastAsiaTheme="minorEastAsia"/>
                <w:color w:val="auto"/>
                <w:lang w:eastAsia="zh-CN" w:bidi="ar"/>
              </w:rPr>
              <w:t>生被审方情况表</w:t>
            </w:r>
          </w:p>
        </w:tc>
      </w:tr>
      <w:tr w14:paraId="76D80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13F476F8">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27</w:t>
            </w:r>
          </w:p>
        </w:tc>
        <w:tc>
          <w:tcPr>
            <w:tcW w:w="1603" w:type="dxa"/>
            <w:vAlign w:val="center"/>
          </w:tcPr>
          <w:p w14:paraId="657F6D9C">
            <w:pPr>
              <w:widowControl/>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科室审方情况表</w:t>
            </w:r>
          </w:p>
        </w:tc>
        <w:tc>
          <w:tcPr>
            <w:tcW w:w="6976" w:type="dxa"/>
            <w:vAlign w:val="center"/>
          </w:tcPr>
          <w:p w14:paraId="69107A47">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按时间、科室、门诊/住院/全院条件统计查询科室审方情况表，报表显示包括:序号、科室、总审方数量、审方通过数量、审方通过率(%)、审方不通</w:t>
            </w:r>
          </w:p>
          <w:p w14:paraId="326680C9">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过数量、审方不通过率(%)</w:t>
            </w:r>
          </w:p>
        </w:tc>
      </w:tr>
      <w:tr w14:paraId="6118B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685" w:type="dxa"/>
            <w:vAlign w:val="center"/>
          </w:tcPr>
          <w:p w14:paraId="3CE9746A">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28</w:t>
            </w:r>
          </w:p>
        </w:tc>
        <w:tc>
          <w:tcPr>
            <w:tcW w:w="1603" w:type="dxa"/>
            <w:vAlign w:val="center"/>
          </w:tcPr>
          <w:p w14:paraId="5362AE96">
            <w:pPr>
              <w:widowControl/>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医生被审方情况表</w:t>
            </w:r>
          </w:p>
        </w:tc>
        <w:tc>
          <w:tcPr>
            <w:tcW w:w="6976" w:type="dxa"/>
            <w:vAlign w:val="center"/>
          </w:tcPr>
          <w:p w14:paraId="2E135A48">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按时间、医生、门诊/住院/全院条件统计查询科室审方情况表，报表显示包括:序号、科室、医生、总审方数量、审方通过数量、审方通过率(%)、审方不通过数量、审方不通过率(%)</w:t>
            </w:r>
          </w:p>
        </w:tc>
      </w:tr>
      <w:tr w14:paraId="7CA75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685" w:type="dxa"/>
            <w:vAlign w:val="center"/>
          </w:tcPr>
          <w:p w14:paraId="6A8A024C">
            <w:pPr>
              <w:widowControl/>
              <w:jc w:val="center"/>
              <w:textAlignment w:val="center"/>
              <w:rPr>
                <w:rStyle w:val="23"/>
                <w:rFonts w:hint="default" w:ascii="Times New Roman" w:hAnsi="Times New Roman" w:cs="Times New Roman" w:eastAsiaTheme="minorEastAsia"/>
                <w:color w:val="auto"/>
                <w:lang w:val="en-US" w:eastAsia="zh-CN" w:bidi="ar"/>
              </w:rPr>
            </w:pPr>
            <w:r>
              <w:rPr>
                <w:rStyle w:val="23"/>
                <w:rFonts w:hint="default" w:ascii="Times New Roman" w:hAnsi="Times New Roman" w:cs="Times New Roman" w:eastAsiaTheme="minorEastAsia"/>
                <w:color w:val="auto"/>
                <w:lang w:eastAsia="zh-CN" w:bidi="ar"/>
              </w:rPr>
              <w:t>2</w:t>
            </w:r>
            <w:r>
              <w:rPr>
                <w:rStyle w:val="23"/>
                <w:rFonts w:hint="eastAsia" w:ascii="Times New Roman" w:hAnsi="Times New Roman" w:cs="Times New Roman" w:eastAsiaTheme="minorEastAsia"/>
                <w:color w:val="auto"/>
                <w:lang w:val="en-US" w:eastAsia="zh-CN" w:bidi="ar"/>
              </w:rPr>
              <w:t>9</w:t>
            </w:r>
          </w:p>
        </w:tc>
        <w:tc>
          <w:tcPr>
            <w:tcW w:w="1603" w:type="dxa"/>
            <w:vAlign w:val="center"/>
          </w:tcPr>
          <w:p w14:paraId="27BF558F">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审方工作汇总</w:t>
            </w:r>
          </w:p>
        </w:tc>
        <w:tc>
          <w:tcPr>
            <w:tcW w:w="6976" w:type="dxa"/>
            <w:vAlign w:val="center"/>
          </w:tcPr>
          <w:p w14:paraId="2FE20556">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按时间、医生、门诊</w:t>
            </w:r>
            <w:r>
              <w:rPr>
                <w:rStyle w:val="28"/>
                <w:rFonts w:hint="default" w:ascii="Times New Roman" w:hAnsi="Times New Roman" w:cs="Times New Roman" w:eastAsiaTheme="minorEastAsia"/>
                <w:color w:val="auto"/>
                <w:lang w:eastAsia="zh-CN" w:bidi="ar"/>
              </w:rPr>
              <w:t>/</w:t>
            </w:r>
            <w:r>
              <w:rPr>
                <w:rStyle w:val="23"/>
                <w:rFonts w:hint="default" w:ascii="Times New Roman" w:hAnsi="Times New Roman" w:cs="Times New Roman" w:eastAsiaTheme="minorEastAsia"/>
                <w:color w:val="auto"/>
                <w:lang w:eastAsia="zh-CN" w:bidi="ar"/>
              </w:rPr>
              <w:t>住院</w:t>
            </w:r>
            <w:r>
              <w:rPr>
                <w:rStyle w:val="28"/>
                <w:rFonts w:hint="default" w:ascii="Times New Roman" w:hAnsi="Times New Roman" w:cs="Times New Roman" w:eastAsiaTheme="minorEastAsia"/>
                <w:color w:val="auto"/>
                <w:lang w:eastAsia="zh-CN" w:bidi="ar"/>
              </w:rPr>
              <w:t>/</w:t>
            </w:r>
            <w:r>
              <w:rPr>
                <w:rStyle w:val="23"/>
                <w:rFonts w:hint="default" w:ascii="Times New Roman" w:hAnsi="Times New Roman" w:cs="Times New Roman" w:eastAsiaTheme="minorEastAsia"/>
                <w:color w:val="auto"/>
                <w:lang w:eastAsia="zh-CN" w:bidi="ar"/>
              </w:rPr>
              <w:t>全院条件统计查询审方工作汇总：汇总指标包括：审核科室数、审核病人数、总任务数、药师审核任务数、药师审核率、药师干预任务数、药师干预率、药师干预后医生双签通过任务数、系统自动干预，并可导出</w:t>
            </w:r>
            <w:r>
              <w:rPr>
                <w:rStyle w:val="28"/>
                <w:rFonts w:hint="default" w:ascii="Times New Roman" w:hAnsi="Times New Roman" w:cs="Times New Roman" w:eastAsiaTheme="minorEastAsia"/>
                <w:color w:val="auto"/>
                <w:lang w:eastAsia="zh-CN" w:bidi="ar"/>
              </w:rPr>
              <w:t>EXCEL</w:t>
            </w:r>
            <w:r>
              <w:rPr>
                <w:rStyle w:val="23"/>
                <w:rFonts w:hint="default" w:ascii="Times New Roman" w:hAnsi="Times New Roman" w:cs="Times New Roman" w:eastAsiaTheme="minorEastAsia"/>
                <w:color w:val="auto"/>
                <w:lang w:eastAsia="zh-CN" w:bidi="ar"/>
              </w:rPr>
              <w:t>数据表。</w:t>
            </w:r>
          </w:p>
        </w:tc>
      </w:tr>
      <w:tr w14:paraId="3D027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trPr>
        <w:tc>
          <w:tcPr>
            <w:tcW w:w="9264" w:type="dxa"/>
            <w:gridSpan w:val="3"/>
            <w:vAlign w:val="center"/>
          </w:tcPr>
          <w:p w14:paraId="525D14BD">
            <w:pPr>
              <w:widowControl/>
              <w:textAlignment w:val="top"/>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b/>
                <w:color w:val="auto"/>
                <w:sz w:val="24"/>
                <w:szCs w:val="24"/>
                <w:lang w:eastAsia="zh-CN"/>
              </w:rPr>
              <w:t>（三）区域合理用药预警功能模块。</w:t>
            </w:r>
            <w:r>
              <w:rPr>
                <w:rStyle w:val="23"/>
                <w:rFonts w:hint="default" w:ascii="Times New Roman" w:hAnsi="Times New Roman" w:cs="Times New Roman" w:eastAsiaTheme="minorEastAsia"/>
                <w:color w:val="auto"/>
                <w:lang w:eastAsia="zh-CN" w:bidi="ar"/>
              </w:rPr>
              <w:t>功能要求：医生开具处方或医嘱进入审方系统进行审核时，在医生处方界面显示处方问题要点提示，以警示医生的处方行为。医生开具处方/医嘱时，系统针对医生所选择的药品进行“要点提示”，包括药品说明书中包括剂量、适应症、禁用、慎用和注意事项等，以及部分有特殊使用要求的药品信息；医生处方时不规范后出现提示。具体要求如下：</w:t>
            </w:r>
          </w:p>
        </w:tc>
      </w:tr>
      <w:tr w14:paraId="134BC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1B9A780">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1</w:t>
            </w:r>
          </w:p>
        </w:tc>
        <w:tc>
          <w:tcPr>
            <w:tcW w:w="1603" w:type="dxa"/>
            <w:vAlign w:val="center"/>
          </w:tcPr>
          <w:p w14:paraId="695054C7">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药物存在相互作用</w:t>
            </w:r>
          </w:p>
        </w:tc>
        <w:tc>
          <w:tcPr>
            <w:tcW w:w="6976" w:type="dxa"/>
            <w:vAlign w:val="center"/>
          </w:tcPr>
          <w:p w14:paraId="4317DDDE">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处方/医嘱中的药品两两之间或是药品所含成份之间存在的相互作用进行提示。提示信息有分严重程度。</w:t>
            </w:r>
          </w:p>
        </w:tc>
      </w:tr>
      <w:tr w14:paraId="35738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AE6273B">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val="en-US" w:eastAsia="zh-CN"/>
              </w:rPr>
              <w:t>2</w:t>
            </w:r>
          </w:p>
        </w:tc>
        <w:tc>
          <w:tcPr>
            <w:tcW w:w="1603" w:type="dxa"/>
            <w:vAlign w:val="center"/>
          </w:tcPr>
          <w:p w14:paraId="0B9B7DA4">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注射药物存在配伍禁忌</w:t>
            </w:r>
          </w:p>
        </w:tc>
        <w:tc>
          <w:tcPr>
            <w:tcW w:w="6976" w:type="dxa"/>
            <w:vAlign w:val="center"/>
          </w:tcPr>
          <w:p w14:paraId="675E27D8">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对同一容器中混合的注射药品进行配伍审查，对混合后会导致药液浑浊、变色、稳定性等配伍问题进行提示。提示信息有严重程度之分。</w:t>
            </w:r>
          </w:p>
        </w:tc>
      </w:tr>
      <w:tr w14:paraId="15C4A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18610B4">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3</w:t>
            </w:r>
          </w:p>
        </w:tc>
        <w:tc>
          <w:tcPr>
            <w:tcW w:w="1603" w:type="dxa"/>
            <w:vAlign w:val="center"/>
          </w:tcPr>
          <w:p w14:paraId="7033EAB1">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有过敏史患者，处方提示</w:t>
            </w:r>
          </w:p>
        </w:tc>
        <w:tc>
          <w:tcPr>
            <w:tcW w:w="6976" w:type="dxa"/>
            <w:vAlign w:val="center"/>
          </w:tcPr>
          <w:p w14:paraId="3F2A7C91">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根据药品说明书内容，结合患者的过敏信息分析处方/医嘱中的药品是否存在患者应禁用或是慎用的药品。提示信息有严重程度之分。</w:t>
            </w:r>
          </w:p>
        </w:tc>
      </w:tr>
      <w:tr w14:paraId="66048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593D875">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4</w:t>
            </w:r>
          </w:p>
        </w:tc>
        <w:tc>
          <w:tcPr>
            <w:tcW w:w="1603" w:type="dxa"/>
            <w:vAlign w:val="center"/>
          </w:tcPr>
          <w:p w14:paraId="397F79E9">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存在年龄不适宜的用药</w:t>
            </w:r>
          </w:p>
        </w:tc>
        <w:tc>
          <w:tcPr>
            <w:tcW w:w="6976" w:type="dxa"/>
            <w:vAlign w:val="center"/>
          </w:tcPr>
          <w:p w14:paraId="5195B50C">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根据药品说明书内容，结合患者的“年龄”信息进分析（老年人、儿童、新生儿），对于存在的问题进行提示。提示信息有严重程度之分。</w:t>
            </w:r>
          </w:p>
        </w:tc>
      </w:tr>
      <w:tr w14:paraId="558FB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E172A71">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5</w:t>
            </w:r>
          </w:p>
        </w:tc>
        <w:tc>
          <w:tcPr>
            <w:tcW w:w="1603" w:type="dxa"/>
            <w:vAlign w:val="center"/>
          </w:tcPr>
          <w:p w14:paraId="42B69797">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妊妇期使用药物的提示</w:t>
            </w:r>
          </w:p>
        </w:tc>
        <w:tc>
          <w:tcPr>
            <w:tcW w:w="6976" w:type="dxa"/>
            <w:vAlign w:val="center"/>
          </w:tcPr>
          <w:p w14:paraId="625C914E">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根据药品说明书内容，当妊娠期时，对处方中的药品进行妊娠期用药审查，对于存在的问题进行提示。提示信息有严重程度之分。</w:t>
            </w:r>
          </w:p>
        </w:tc>
      </w:tr>
      <w:tr w14:paraId="3F548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0272C51">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6</w:t>
            </w:r>
          </w:p>
        </w:tc>
        <w:tc>
          <w:tcPr>
            <w:tcW w:w="1603" w:type="dxa"/>
            <w:vAlign w:val="center"/>
          </w:tcPr>
          <w:p w14:paraId="125347A3">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哺乳期妇女不能使用的药物</w:t>
            </w:r>
          </w:p>
        </w:tc>
        <w:tc>
          <w:tcPr>
            <w:tcW w:w="6976" w:type="dxa"/>
            <w:vAlign w:val="center"/>
          </w:tcPr>
          <w:p w14:paraId="345C9769">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根据药品说明书内容，当患者处于哺乳期时，对处方中的药品进行哺乳期用药审查，对于存在的问题进行提示。提示信息有严重程度之分。</w:t>
            </w:r>
          </w:p>
        </w:tc>
      </w:tr>
      <w:tr w14:paraId="4EDD6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322F5F9">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7</w:t>
            </w:r>
          </w:p>
        </w:tc>
        <w:tc>
          <w:tcPr>
            <w:tcW w:w="1603" w:type="dxa"/>
            <w:vAlign w:val="center"/>
          </w:tcPr>
          <w:p w14:paraId="76096B60">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给药剂型和途径不合理</w:t>
            </w:r>
          </w:p>
        </w:tc>
        <w:tc>
          <w:tcPr>
            <w:tcW w:w="6976" w:type="dxa"/>
            <w:vAlign w:val="center"/>
          </w:tcPr>
          <w:p w14:paraId="08D22586">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根据药品说明书内容，对处方/医嘱中的药品选择剂型和给药途径选择问题进行提示。提示信息有严重程度之分。</w:t>
            </w:r>
          </w:p>
        </w:tc>
      </w:tr>
      <w:tr w14:paraId="5AFCD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1EE4CC3">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8</w:t>
            </w:r>
          </w:p>
        </w:tc>
        <w:tc>
          <w:tcPr>
            <w:tcW w:w="1603" w:type="dxa"/>
            <w:vAlign w:val="center"/>
          </w:tcPr>
          <w:p w14:paraId="7141F636">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肝、肾功能不全时的用药提示</w:t>
            </w:r>
          </w:p>
        </w:tc>
        <w:tc>
          <w:tcPr>
            <w:tcW w:w="6976" w:type="dxa"/>
            <w:vAlign w:val="center"/>
          </w:tcPr>
          <w:p w14:paraId="3095DA4F">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针对肝、肾功能不全患者在使用药物时对处方中的药品进行分析，对于存在的问题进行提示。提示信息有严重程度之分。</w:t>
            </w:r>
          </w:p>
        </w:tc>
      </w:tr>
      <w:tr w14:paraId="79AF0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D50C62E">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9</w:t>
            </w:r>
          </w:p>
        </w:tc>
        <w:tc>
          <w:tcPr>
            <w:tcW w:w="1603" w:type="dxa"/>
            <w:vAlign w:val="center"/>
          </w:tcPr>
          <w:p w14:paraId="69CDEC57">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超剂量时</w:t>
            </w:r>
            <w:r>
              <w:rPr>
                <w:rStyle w:val="23"/>
                <w:rFonts w:hint="default" w:ascii="Times New Roman" w:hAnsi="Times New Roman" w:cs="Times New Roman" w:eastAsiaTheme="minorEastAsia"/>
                <w:color w:val="auto"/>
                <w:lang w:eastAsia="zh-CN" w:bidi="ar"/>
              </w:rPr>
              <w:t>提醒</w:t>
            </w:r>
          </w:p>
        </w:tc>
        <w:tc>
          <w:tcPr>
            <w:tcW w:w="6976" w:type="dxa"/>
            <w:vAlign w:val="center"/>
          </w:tcPr>
          <w:p w14:paraId="1A1C3160">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药品的单次量、单日量超出说明书规定时的提示。</w:t>
            </w:r>
          </w:p>
        </w:tc>
      </w:tr>
      <w:tr w14:paraId="6A9D5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56A598B">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10</w:t>
            </w:r>
          </w:p>
        </w:tc>
        <w:tc>
          <w:tcPr>
            <w:tcW w:w="1603" w:type="dxa"/>
            <w:vAlign w:val="center"/>
          </w:tcPr>
          <w:p w14:paraId="5A17027D">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对重复用药时</w:t>
            </w:r>
            <w:r>
              <w:rPr>
                <w:rStyle w:val="23"/>
                <w:rFonts w:hint="default" w:ascii="Times New Roman" w:hAnsi="Times New Roman" w:cs="Times New Roman" w:eastAsiaTheme="minorEastAsia"/>
                <w:color w:val="auto"/>
                <w:lang w:eastAsia="zh-CN" w:bidi="ar"/>
              </w:rPr>
              <w:t>提醒</w:t>
            </w:r>
          </w:p>
        </w:tc>
        <w:tc>
          <w:tcPr>
            <w:tcW w:w="6976" w:type="dxa"/>
            <w:vAlign w:val="center"/>
          </w:tcPr>
          <w:p w14:paraId="09C822DB">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实时对处方中的同种、同类、同成份药品进行监控并提示。审查顺序依次为“同种→同类→同成份”，提示最先判断到的内容。</w:t>
            </w:r>
          </w:p>
        </w:tc>
      </w:tr>
      <w:tr w14:paraId="1B650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2C53ABE">
            <w:pPr>
              <w:widowControl/>
              <w:numPr>
                <w:ilvl w:val="0"/>
                <w:numId w:val="0"/>
              </w:numPr>
              <w:ind w:left="0" w:leftChars="0" w:firstLine="0" w:firstLineChars="0"/>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val="en-US" w:eastAsia="zh-CN"/>
              </w:rPr>
              <w:t>11</w:t>
            </w:r>
          </w:p>
        </w:tc>
        <w:tc>
          <w:tcPr>
            <w:tcW w:w="1603" w:type="dxa"/>
            <w:vAlign w:val="center"/>
          </w:tcPr>
          <w:p w14:paraId="16CFCC4E">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抗菌谱相同的抗菌药提示</w:t>
            </w:r>
          </w:p>
        </w:tc>
        <w:tc>
          <w:tcPr>
            <w:tcW w:w="6976" w:type="dxa"/>
            <w:vAlign w:val="center"/>
          </w:tcPr>
          <w:p w14:paraId="6D1DBB85">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实时对处方中两个或两个以上抗菌谱相同</w:t>
            </w:r>
            <w:r>
              <w:rPr>
                <w:rStyle w:val="23"/>
                <w:rFonts w:hint="default" w:ascii="Times New Roman" w:hAnsi="Times New Roman" w:cs="Times New Roman" w:eastAsiaTheme="minorEastAsia"/>
                <w:color w:val="auto"/>
                <w:lang w:eastAsia="zh-CN" w:bidi="ar"/>
              </w:rPr>
              <w:t>（同类抗菌药物有两种或两种以上）的药品进行不合理提示。</w:t>
            </w:r>
          </w:p>
        </w:tc>
      </w:tr>
      <w:tr w14:paraId="1E184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6D387C7">
            <w:pPr>
              <w:widowControl/>
              <w:jc w:val="center"/>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12</w:t>
            </w:r>
          </w:p>
        </w:tc>
        <w:tc>
          <w:tcPr>
            <w:tcW w:w="1603" w:type="dxa"/>
            <w:vAlign w:val="center"/>
          </w:tcPr>
          <w:p w14:paraId="6C9028AA">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儿童用药提示</w:t>
            </w:r>
          </w:p>
        </w:tc>
        <w:tc>
          <w:tcPr>
            <w:tcW w:w="6976" w:type="dxa"/>
            <w:vAlign w:val="center"/>
          </w:tcPr>
          <w:p w14:paraId="099E39AC">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针对不同年龄、体重、体表面积等因素（参数）儿童用药的安全提示。设置“常规用药量审查”功能。支持超常规用量时是否进入审方开关设置，支持分析审查小于最小常规用药量时是否需要提示开关，并可设置小于最小常规用量时是否进入审方开关。</w:t>
            </w:r>
          </w:p>
        </w:tc>
      </w:tr>
      <w:tr w14:paraId="60C7F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CA199E0">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13</w:t>
            </w:r>
          </w:p>
        </w:tc>
        <w:tc>
          <w:tcPr>
            <w:tcW w:w="1603" w:type="dxa"/>
            <w:vAlign w:val="center"/>
          </w:tcPr>
          <w:p w14:paraId="45E05CB6">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存在药物禁忌症时提示</w:t>
            </w:r>
          </w:p>
        </w:tc>
        <w:tc>
          <w:tcPr>
            <w:tcW w:w="6976" w:type="dxa"/>
            <w:vAlign w:val="center"/>
          </w:tcPr>
          <w:p w14:paraId="37979AF4">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将病人的疾病情况</w:t>
            </w:r>
            <w:r>
              <w:rPr>
                <w:rStyle w:val="23"/>
                <w:rFonts w:hint="default" w:ascii="Times New Roman" w:hAnsi="Times New Roman" w:cs="Times New Roman" w:eastAsiaTheme="minorEastAsia"/>
                <w:color w:val="auto"/>
                <w:lang w:eastAsia="zh-CN" w:bidi="ar"/>
              </w:rPr>
              <w:t>（包括症状、体征、检验、检查的变化）与药物禁忌症关联，如果处方药物的禁忌症与病人疾病情况相关时，说明病人存在使用某个药物的禁忌症，系统即发出警告提醒医生需调整病人的药物治疗方案。</w:t>
            </w:r>
          </w:p>
        </w:tc>
      </w:tr>
      <w:tr w14:paraId="0D71F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60F4171">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14</w:t>
            </w:r>
          </w:p>
        </w:tc>
        <w:tc>
          <w:tcPr>
            <w:tcW w:w="1603" w:type="dxa"/>
            <w:vAlign w:val="center"/>
          </w:tcPr>
          <w:p w14:paraId="76435947">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开具超说明书处方时</w:t>
            </w:r>
          </w:p>
        </w:tc>
        <w:tc>
          <w:tcPr>
            <w:tcW w:w="6976" w:type="dxa"/>
            <w:vAlign w:val="center"/>
          </w:tcPr>
          <w:p w14:paraId="1619D098">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医生开具超说明用药时系统则发出警告提醒医生可能需要调整病人的药物治疗方案。</w:t>
            </w:r>
            <w:r>
              <w:rPr>
                <w:rStyle w:val="23"/>
                <w:rFonts w:hint="default" w:ascii="Times New Roman" w:hAnsi="Times New Roman" w:cs="Times New Roman" w:eastAsiaTheme="minorEastAsia"/>
                <w:color w:val="auto"/>
                <w:lang w:eastAsia="zh-CN" w:bidi="ar"/>
              </w:rPr>
              <w:t>如果医院在系统中嵌入了超说明书审批内容，能显示。</w:t>
            </w:r>
          </w:p>
        </w:tc>
      </w:tr>
      <w:tr w14:paraId="3B352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685" w:type="dxa"/>
            <w:vAlign w:val="center"/>
          </w:tcPr>
          <w:p w14:paraId="513E39D9">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15</w:t>
            </w:r>
          </w:p>
        </w:tc>
        <w:tc>
          <w:tcPr>
            <w:tcW w:w="1603" w:type="dxa"/>
            <w:vAlign w:val="center"/>
          </w:tcPr>
          <w:p w14:paraId="534B15E9">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中药味数偏多时</w:t>
            </w:r>
          </w:p>
        </w:tc>
        <w:tc>
          <w:tcPr>
            <w:tcW w:w="6976" w:type="dxa"/>
            <w:vAlign w:val="center"/>
          </w:tcPr>
          <w:p w14:paraId="6E108CB9">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药味偏多实际上是用药超量的一种特殊表现，中医临床如果不按中医理论辨证论治、对证下药，根据医院设置味数最大限量，超出限量值给予提示。</w:t>
            </w:r>
          </w:p>
        </w:tc>
      </w:tr>
      <w:tr w14:paraId="580B1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7310357">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16</w:t>
            </w:r>
          </w:p>
        </w:tc>
        <w:tc>
          <w:tcPr>
            <w:tcW w:w="1603" w:type="dxa"/>
            <w:vAlign w:val="center"/>
          </w:tcPr>
          <w:p w14:paraId="27037E03">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出现中药的配伍禁忌</w:t>
            </w:r>
          </w:p>
        </w:tc>
        <w:tc>
          <w:tcPr>
            <w:tcW w:w="6976" w:type="dxa"/>
            <w:vAlign w:val="center"/>
          </w:tcPr>
          <w:p w14:paraId="18A03CB8">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中药配伍禁忌有“十八反”“十九畏”,相反、相畏的药物一起使用会增加药物不良反应的发生,甚至危害患者的健康，出现配伍禁忌时给予提示。</w:t>
            </w:r>
          </w:p>
        </w:tc>
      </w:tr>
      <w:tr w14:paraId="5F70C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53887F8">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17</w:t>
            </w:r>
          </w:p>
        </w:tc>
        <w:tc>
          <w:tcPr>
            <w:tcW w:w="1603" w:type="dxa"/>
            <w:vAlign w:val="center"/>
          </w:tcPr>
          <w:p w14:paraId="03DAC904">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中药与西药之间的相互作用</w:t>
            </w:r>
          </w:p>
        </w:tc>
        <w:tc>
          <w:tcPr>
            <w:tcW w:w="6976" w:type="dxa"/>
            <w:vAlign w:val="center"/>
          </w:tcPr>
          <w:p w14:paraId="5E19BFB3">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中成药、中药饮片与西药之间的相互作用审查并提示。</w:t>
            </w:r>
          </w:p>
        </w:tc>
      </w:tr>
      <w:tr w14:paraId="1D485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245109C">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18</w:t>
            </w:r>
          </w:p>
        </w:tc>
        <w:tc>
          <w:tcPr>
            <w:tcW w:w="1603" w:type="dxa"/>
            <w:vAlign w:val="center"/>
          </w:tcPr>
          <w:p w14:paraId="41A74CEF">
            <w:pPr>
              <w:widowControl/>
              <w:textAlignment w:val="center"/>
              <w:rPr>
                <w:rStyle w:val="23"/>
                <w:rFonts w:hint="default" w:ascii="Times New Roman" w:hAnsi="Times New Roman" w:cs="Times New Roman" w:eastAsiaTheme="minorEastAsia"/>
                <w:color w:val="auto"/>
                <w:lang w:eastAsia="zh-CN" w:bidi="ar"/>
              </w:rPr>
            </w:pPr>
            <w:r>
              <w:rPr>
                <w:rFonts w:hint="default" w:ascii="Times New Roman" w:hAnsi="Times New Roman" w:cs="Times New Roman" w:eastAsiaTheme="minorEastAsia"/>
                <w:color w:val="auto"/>
                <w:sz w:val="21"/>
                <w:szCs w:val="21"/>
                <w:lang w:eastAsia="zh-CN"/>
              </w:rPr>
              <w:t>中药有毒性中药成分重复使用</w:t>
            </w:r>
          </w:p>
        </w:tc>
        <w:tc>
          <w:tcPr>
            <w:tcW w:w="6976" w:type="dxa"/>
            <w:vAlign w:val="center"/>
          </w:tcPr>
          <w:p w14:paraId="06F1493E">
            <w:pPr>
              <w:widowControl/>
              <w:textAlignment w:val="top"/>
              <w:rPr>
                <w:rStyle w:val="23"/>
                <w:rFonts w:hint="default" w:ascii="Times New Roman" w:hAnsi="Times New Roman" w:cs="Times New Roman" w:eastAsiaTheme="minorEastAsia"/>
                <w:color w:val="auto"/>
                <w:lang w:eastAsia="zh-CN" w:bidi="ar"/>
              </w:rPr>
            </w:pPr>
            <w:r>
              <w:rPr>
                <w:rFonts w:hint="default" w:ascii="Times New Roman" w:hAnsi="Times New Roman" w:cs="Times New Roman" w:eastAsiaTheme="minorEastAsia"/>
                <w:color w:val="auto"/>
                <w:sz w:val="21"/>
                <w:szCs w:val="21"/>
                <w:lang w:eastAsia="zh-CN"/>
              </w:rPr>
              <w:t>对于不同中成药之间、中成药与中药饮片之间，是否含相同有毒性中药成分的审查功能</w:t>
            </w:r>
          </w:p>
        </w:tc>
      </w:tr>
      <w:tr w14:paraId="78328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E49B656">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19</w:t>
            </w:r>
          </w:p>
        </w:tc>
        <w:tc>
          <w:tcPr>
            <w:tcW w:w="1603" w:type="dxa"/>
            <w:vAlign w:val="center"/>
          </w:tcPr>
          <w:p w14:paraId="42377F1A">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有无中药的中医辨证分型</w:t>
            </w:r>
          </w:p>
        </w:tc>
        <w:tc>
          <w:tcPr>
            <w:tcW w:w="6976" w:type="dxa"/>
            <w:vAlign w:val="center"/>
          </w:tcPr>
          <w:p w14:paraId="4CE5A023">
            <w:pPr>
              <w:widowControl/>
              <w:textAlignment w:val="top"/>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审查中成药处方，审查是否有填写中医证型，同时审查中医证型对应药品的适应症是否正确。</w:t>
            </w:r>
          </w:p>
        </w:tc>
      </w:tr>
      <w:tr w14:paraId="4BDD9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5B62C5DE">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20</w:t>
            </w:r>
          </w:p>
        </w:tc>
        <w:tc>
          <w:tcPr>
            <w:tcW w:w="1603" w:type="dxa"/>
            <w:vAlign w:val="center"/>
          </w:tcPr>
          <w:p w14:paraId="2E94ADF5">
            <w:pPr>
              <w:widowControl/>
              <w:textAlignment w:val="center"/>
              <w:rPr>
                <w:rStyle w:val="23"/>
                <w:rFonts w:hint="default" w:ascii="Times New Roman" w:hAnsi="Times New Roman" w:cs="Times New Roman" w:eastAsiaTheme="minorEastAsia"/>
                <w:color w:val="auto"/>
                <w:lang w:eastAsia="zh-CN" w:bidi="ar"/>
              </w:rPr>
            </w:pPr>
            <w:r>
              <w:rPr>
                <w:rFonts w:hint="default" w:ascii="Times New Roman" w:hAnsi="Times New Roman" w:cs="Times New Roman" w:eastAsiaTheme="minorEastAsia"/>
                <w:color w:val="auto"/>
                <w:sz w:val="21"/>
                <w:szCs w:val="21"/>
                <w:lang w:eastAsia="zh-CN"/>
              </w:rPr>
              <w:t>单张处方功能主治相同的中成药提示</w:t>
            </w:r>
          </w:p>
        </w:tc>
        <w:tc>
          <w:tcPr>
            <w:tcW w:w="6976" w:type="dxa"/>
            <w:vAlign w:val="center"/>
          </w:tcPr>
          <w:p w14:paraId="455CB33B">
            <w:pPr>
              <w:widowControl/>
              <w:textAlignment w:val="top"/>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判断单张处方中功能主治相同的中成药品种数是否超出限制的数量，超出时系统会提醒医生调整中成药品种数。</w:t>
            </w:r>
          </w:p>
        </w:tc>
      </w:tr>
      <w:tr w14:paraId="6214E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9650E8F">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21</w:t>
            </w:r>
          </w:p>
        </w:tc>
        <w:tc>
          <w:tcPr>
            <w:tcW w:w="1603" w:type="dxa"/>
            <w:vAlign w:val="center"/>
          </w:tcPr>
          <w:p w14:paraId="3A5E20E5">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单张处方功能主治或适应症相同的中成药注射剂品种数限制</w:t>
            </w:r>
          </w:p>
        </w:tc>
        <w:tc>
          <w:tcPr>
            <w:tcW w:w="6976" w:type="dxa"/>
            <w:vAlign w:val="center"/>
          </w:tcPr>
          <w:p w14:paraId="5F6E46F1">
            <w:pPr>
              <w:widowControl/>
              <w:textAlignment w:val="top"/>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判断单张处方中功能主治或适应症相同的中成药注射剂品种数是否超出限制的数量，超出时系统会提醒医生调整中成药注射剂品种数。</w:t>
            </w:r>
          </w:p>
        </w:tc>
      </w:tr>
      <w:tr w14:paraId="72B58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9064594">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22</w:t>
            </w:r>
          </w:p>
        </w:tc>
        <w:tc>
          <w:tcPr>
            <w:tcW w:w="1603" w:type="dxa"/>
            <w:vAlign w:val="center"/>
          </w:tcPr>
          <w:p w14:paraId="06B2B06E">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溶媒合理性提示</w:t>
            </w:r>
          </w:p>
        </w:tc>
        <w:tc>
          <w:tcPr>
            <w:tcW w:w="6976" w:type="dxa"/>
            <w:vAlign w:val="center"/>
          </w:tcPr>
          <w:p w14:paraId="68B8C4D0">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分析注射液输液药物使用的溶媒是否正确，是否存在溶媒禁用情况，或是药品说明书中未明确规定可使用的，给予提示。</w:t>
            </w:r>
          </w:p>
        </w:tc>
      </w:tr>
      <w:tr w14:paraId="08161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99D1E0C">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23</w:t>
            </w:r>
          </w:p>
        </w:tc>
        <w:tc>
          <w:tcPr>
            <w:tcW w:w="1603" w:type="dxa"/>
            <w:vAlign w:val="center"/>
          </w:tcPr>
          <w:p w14:paraId="49133015">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配伍浓度审查</w:t>
            </w:r>
          </w:p>
        </w:tc>
        <w:tc>
          <w:tcPr>
            <w:tcW w:w="6976" w:type="dxa"/>
            <w:vAlign w:val="center"/>
          </w:tcPr>
          <w:p w14:paraId="491DA007">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配伍后药品浓度是否在药品说明书推荐的给药浓度范围内，若不在此范围内则系统发出警告提醒医生可能需要调整处方药品或溶媒的用量。</w:t>
            </w:r>
          </w:p>
        </w:tc>
      </w:tr>
      <w:tr w14:paraId="4F5E6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5CA9A16B">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24</w:t>
            </w:r>
          </w:p>
        </w:tc>
        <w:tc>
          <w:tcPr>
            <w:tcW w:w="1603" w:type="dxa"/>
            <w:vAlign w:val="center"/>
          </w:tcPr>
          <w:p w14:paraId="57D4FCAA">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医院自定义知识库规则</w:t>
            </w:r>
          </w:p>
        </w:tc>
        <w:tc>
          <w:tcPr>
            <w:tcW w:w="6976" w:type="dxa"/>
            <w:vAlign w:val="center"/>
          </w:tcPr>
          <w:p w14:paraId="0D6A083C">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医院可自定义设置属于医院个性化的知识库，可设置药品超剂量、老年人用药、儿童用药、配伍禁忌、相互作用、给药途径禁忌使用设置等功能。自定义医院细菌耐药监测数据，临床微生物（科）室按所在机构细菌耐药情况，设定重点监测耐药菌，定期向临床科室发布耐药警示信息,并可及时更新。</w:t>
            </w:r>
          </w:p>
        </w:tc>
      </w:tr>
      <w:tr w14:paraId="41D99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A5F9C86">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25</w:t>
            </w:r>
          </w:p>
        </w:tc>
        <w:tc>
          <w:tcPr>
            <w:tcW w:w="1603" w:type="dxa"/>
            <w:vAlign w:val="center"/>
          </w:tcPr>
          <w:p w14:paraId="651547DA">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多张处方及单张处方累计使用天数审查</w:t>
            </w:r>
          </w:p>
        </w:tc>
        <w:tc>
          <w:tcPr>
            <w:tcW w:w="6976" w:type="dxa"/>
            <w:vAlign w:val="center"/>
          </w:tcPr>
          <w:p w14:paraId="0A623507">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同一患者当天在不同科室、不同医生所开处方联合累计相同药品使用天数，审查的依据是检查药品的实际使用天数是否大于处方管理办法的使用量（门诊七天急诊三天量，慢病12周处方量）。</w:t>
            </w:r>
          </w:p>
        </w:tc>
      </w:tr>
      <w:tr w14:paraId="213CA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6281811">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26</w:t>
            </w:r>
          </w:p>
        </w:tc>
        <w:tc>
          <w:tcPr>
            <w:tcW w:w="1603" w:type="dxa"/>
            <w:vAlign w:val="center"/>
          </w:tcPr>
          <w:p w14:paraId="3A1B8A11">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超疗程用药审查</w:t>
            </w:r>
          </w:p>
        </w:tc>
        <w:tc>
          <w:tcPr>
            <w:tcW w:w="6976" w:type="dxa"/>
            <w:vAlign w:val="center"/>
          </w:tcPr>
          <w:p w14:paraId="0A4FAD08">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本审查功能是审查医院规则哪些药物的最大使用疗程，当超疗程使用时，系统即发出警告提醒医生可能需要调整病人的药物治疗方案。</w:t>
            </w:r>
          </w:p>
        </w:tc>
      </w:tr>
      <w:tr w14:paraId="391C5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BB5A4E6">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27</w:t>
            </w:r>
          </w:p>
        </w:tc>
        <w:tc>
          <w:tcPr>
            <w:tcW w:w="1603" w:type="dxa"/>
            <w:vAlign w:val="center"/>
          </w:tcPr>
          <w:p w14:paraId="5D44057E">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越权用药审查</w:t>
            </w:r>
          </w:p>
        </w:tc>
        <w:tc>
          <w:tcPr>
            <w:tcW w:w="6976" w:type="dxa"/>
            <w:vAlign w:val="center"/>
          </w:tcPr>
          <w:p w14:paraId="02652D82">
            <w:pPr>
              <w:rPr>
                <w:rStyle w:val="23"/>
                <w:rFonts w:hint="default" w:ascii="Times New Roman" w:hAnsi="Times New Roman" w:cs="Times New Roman" w:eastAsiaTheme="minorEastAsia"/>
                <w:color w:val="auto"/>
                <w:lang w:eastAsia="zh-CN" w:bidi="ar"/>
              </w:rPr>
            </w:pPr>
            <w:r>
              <w:rPr>
                <w:rFonts w:hint="default" w:ascii="Times New Roman" w:hAnsi="Times New Roman" w:cs="Times New Roman" w:eastAsiaTheme="minorEastAsia"/>
                <w:color w:val="auto"/>
                <w:sz w:val="21"/>
                <w:szCs w:val="21"/>
                <w:lang w:eastAsia="zh-CN" w:bidi="ar"/>
              </w:rPr>
              <w:t>根据医院规定的科室、医生处方权限清单，开处方时药品是否其权限范围内，如监控科室、医生越级使用药物、越级使用特殊管制药品等。</w:t>
            </w:r>
          </w:p>
        </w:tc>
      </w:tr>
      <w:tr w14:paraId="36AB2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E2FE94D">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28</w:t>
            </w:r>
          </w:p>
        </w:tc>
        <w:tc>
          <w:tcPr>
            <w:tcW w:w="1603" w:type="dxa"/>
            <w:vAlign w:val="center"/>
          </w:tcPr>
          <w:p w14:paraId="1796CAAF">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围术期抗菌药物使用审查</w:t>
            </w:r>
          </w:p>
        </w:tc>
        <w:tc>
          <w:tcPr>
            <w:tcW w:w="6976" w:type="dxa"/>
            <w:vAlign w:val="center"/>
          </w:tcPr>
          <w:p w14:paraId="0091B540">
            <w:pPr>
              <w:rPr>
                <w:rFonts w:hint="default" w:ascii="Times New Roman" w:hAnsi="Times New Roman" w:cs="Times New Roman" w:eastAsiaTheme="minorEastAsia"/>
                <w:color w:val="auto"/>
                <w:sz w:val="21"/>
                <w:szCs w:val="21"/>
                <w:lang w:eastAsia="zh-CN" w:bidi="ar"/>
              </w:rPr>
            </w:pPr>
            <w:r>
              <w:rPr>
                <w:rFonts w:hint="default" w:ascii="Times New Roman" w:hAnsi="Times New Roman" w:cs="Times New Roman" w:eastAsiaTheme="minorEastAsia"/>
                <w:color w:val="auto"/>
                <w:sz w:val="21"/>
                <w:szCs w:val="21"/>
                <w:lang w:eastAsia="zh-CN"/>
              </w:rPr>
              <w:t>包括品种选择、使用的时机和时限是否合理。则系统提醒医生需调整用药方案；I类和II类切口</w:t>
            </w:r>
            <w:r>
              <w:rPr>
                <w:rStyle w:val="23"/>
                <w:rFonts w:hint="default" w:ascii="Times New Roman" w:hAnsi="Times New Roman" w:cs="Times New Roman" w:eastAsiaTheme="minorEastAsia"/>
                <w:color w:val="auto"/>
                <w:lang w:eastAsia="zh-CN" w:bidi="ar"/>
              </w:rPr>
              <w:t>围术期</w:t>
            </w:r>
            <w:r>
              <w:rPr>
                <w:rFonts w:hint="default" w:ascii="Times New Roman" w:hAnsi="Times New Roman" w:cs="Times New Roman" w:eastAsiaTheme="minorEastAsia"/>
                <w:color w:val="auto"/>
                <w:sz w:val="21"/>
                <w:szCs w:val="21"/>
                <w:lang w:eastAsia="zh-CN"/>
              </w:rPr>
              <w:t>使用时间超过24小时和48小时时提示。</w:t>
            </w:r>
          </w:p>
        </w:tc>
      </w:tr>
      <w:tr w14:paraId="3651F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E522290">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29</w:t>
            </w:r>
          </w:p>
        </w:tc>
        <w:tc>
          <w:tcPr>
            <w:tcW w:w="1603" w:type="dxa"/>
            <w:vAlign w:val="center"/>
          </w:tcPr>
          <w:p w14:paraId="622ECDCC">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TPN审查</w:t>
            </w:r>
          </w:p>
        </w:tc>
        <w:tc>
          <w:tcPr>
            <w:tcW w:w="6976" w:type="dxa"/>
            <w:vAlign w:val="center"/>
          </w:tcPr>
          <w:p w14:paraId="57551DE1">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可为医生提供TPN处方的营养均衡性计算功能。审查TPN处方的合理性，详细警示信息中可展示计算过程。</w:t>
            </w:r>
          </w:p>
        </w:tc>
      </w:tr>
      <w:tr w14:paraId="4627C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6089122">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30</w:t>
            </w:r>
          </w:p>
        </w:tc>
        <w:tc>
          <w:tcPr>
            <w:tcW w:w="1603" w:type="dxa"/>
            <w:vAlign w:val="center"/>
          </w:tcPr>
          <w:p w14:paraId="496FE8CB">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针对医院细菌耐药监测数据进行审查</w:t>
            </w:r>
          </w:p>
        </w:tc>
        <w:tc>
          <w:tcPr>
            <w:tcW w:w="6976" w:type="dxa"/>
            <w:vAlign w:val="center"/>
          </w:tcPr>
          <w:p w14:paraId="4302CBF0">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根据《抗菌药物临床应用管理办法》第三十二条，提示处方中抗菌药物在本院细菌耐药情况（包括哪些细菌对处方药品耐药和耐药率），医生可根据耐药情况的警示提醒调整处方药品或更改用药方案。 </w:t>
            </w:r>
          </w:p>
        </w:tc>
      </w:tr>
      <w:tr w14:paraId="33D5F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1050286">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31</w:t>
            </w:r>
          </w:p>
        </w:tc>
        <w:tc>
          <w:tcPr>
            <w:tcW w:w="1603" w:type="dxa"/>
            <w:vAlign w:val="center"/>
          </w:tcPr>
          <w:p w14:paraId="39FD8696">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门诊抗菌药物超</w:t>
            </w:r>
            <w:r>
              <w:rPr>
                <w:rStyle w:val="23"/>
                <w:rFonts w:hint="eastAsia" w:ascii="Times New Roman" w:hAnsi="Times New Roman" w:cs="Times New Roman" w:eastAsiaTheme="minorEastAsia"/>
                <w:color w:val="auto"/>
                <w:lang w:eastAsia="zh-CN" w:bidi="ar"/>
              </w:rPr>
              <w:t>二</w:t>
            </w:r>
            <w:r>
              <w:rPr>
                <w:rStyle w:val="23"/>
                <w:rFonts w:hint="default" w:ascii="Times New Roman" w:hAnsi="Times New Roman" w:cs="Times New Roman" w:eastAsiaTheme="minorEastAsia"/>
                <w:color w:val="auto"/>
                <w:lang w:eastAsia="zh-CN" w:bidi="ar"/>
              </w:rPr>
              <w:t>联</w:t>
            </w:r>
            <w:r>
              <w:rPr>
                <w:rStyle w:val="23"/>
                <w:rFonts w:hint="eastAsia" w:ascii="Times New Roman" w:hAnsi="Times New Roman" w:cs="Times New Roman" w:eastAsiaTheme="minorEastAsia"/>
                <w:color w:val="auto"/>
                <w:lang w:eastAsia="zh-CN" w:bidi="ar"/>
              </w:rPr>
              <w:t>及以上</w:t>
            </w:r>
            <w:r>
              <w:rPr>
                <w:rStyle w:val="23"/>
                <w:rFonts w:hint="default" w:ascii="Times New Roman" w:hAnsi="Times New Roman" w:cs="Times New Roman" w:eastAsiaTheme="minorEastAsia"/>
                <w:color w:val="auto"/>
                <w:lang w:eastAsia="zh-CN" w:bidi="ar"/>
              </w:rPr>
              <w:t>的提示</w:t>
            </w:r>
          </w:p>
        </w:tc>
        <w:tc>
          <w:tcPr>
            <w:tcW w:w="6976" w:type="dxa"/>
            <w:vAlign w:val="center"/>
          </w:tcPr>
          <w:p w14:paraId="7AA91E9B">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门诊抗菌药物使用超</w:t>
            </w:r>
            <w:r>
              <w:rPr>
                <w:rStyle w:val="23"/>
                <w:rFonts w:hint="eastAsia" w:ascii="Times New Roman" w:hAnsi="Times New Roman" w:cs="Times New Roman" w:eastAsiaTheme="minorEastAsia"/>
                <w:color w:val="auto"/>
                <w:lang w:eastAsia="zh-CN" w:bidi="ar"/>
              </w:rPr>
              <w:t>二</w:t>
            </w:r>
            <w:r>
              <w:rPr>
                <w:rStyle w:val="23"/>
                <w:rFonts w:hint="default" w:ascii="Times New Roman" w:hAnsi="Times New Roman" w:cs="Times New Roman" w:eastAsiaTheme="minorEastAsia"/>
                <w:color w:val="auto"/>
                <w:lang w:eastAsia="zh-CN" w:bidi="ar"/>
              </w:rPr>
              <w:t>联及以上提醒</w:t>
            </w:r>
          </w:p>
        </w:tc>
      </w:tr>
      <w:tr w14:paraId="4BB37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5608E9F3">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32</w:t>
            </w:r>
          </w:p>
        </w:tc>
        <w:tc>
          <w:tcPr>
            <w:tcW w:w="1603" w:type="dxa"/>
            <w:vAlign w:val="center"/>
          </w:tcPr>
          <w:p w14:paraId="4E0356AD">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辅助性用药超2个品种以上的审查</w:t>
            </w:r>
          </w:p>
        </w:tc>
        <w:tc>
          <w:tcPr>
            <w:tcW w:w="6976" w:type="dxa"/>
            <w:vAlign w:val="center"/>
          </w:tcPr>
          <w:p w14:paraId="37F4EFEF">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护肝、护心、护胃、神经营养药、营养制剂等辅助性用药超2个品种以上提醒。</w:t>
            </w:r>
          </w:p>
        </w:tc>
      </w:tr>
      <w:tr w14:paraId="2B414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685" w:type="dxa"/>
            <w:vAlign w:val="center"/>
          </w:tcPr>
          <w:p w14:paraId="6A4483DA">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33</w:t>
            </w:r>
          </w:p>
        </w:tc>
        <w:tc>
          <w:tcPr>
            <w:tcW w:w="1603" w:type="dxa"/>
            <w:vAlign w:val="center"/>
          </w:tcPr>
          <w:p w14:paraId="5C8269B6">
            <w:pPr>
              <w:widowControl/>
              <w:textAlignment w:val="top"/>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累积剂量审查：多张处方及单张处方累计单日用量超说明书用量的提醒。</w:t>
            </w:r>
          </w:p>
        </w:tc>
        <w:tc>
          <w:tcPr>
            <w:tcW w:w="6976" w:type="dxa"/>
            <w:vAlign w:val="center"/>
          </w:tcPr>
          <w:p w14:paraId="1E69190F">
            <w:pPr>
              <w:widowControl/>
              <w:textAlignment w:val="top"/>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同一患者当天在不同科室、不同医生所开处方联合累计相同药品单日量，审查的依据是检查药品的实际用量是否大于药品说明书规定的使用量。</w:t>
            </w:r>
          </w:p>
        </w:tc>
      </w:tr>
      <w:tr w14:paraId="63889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9E1ABD0">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34</w:t>
            </w:r>
          </w:p>
        </w:tc>
        <w:tc>
          <w:tcPr>
            <w:tcW w:w="1603" w:type="dxa"/>
            <w:vAlign w:val="center"/>
          </w:tcPr>
          <w:p w14:paraId="24F227BE">
            <w:pPr>
              <w:widowControl/>
              <w:textAlignment w:val="center"/>
              <w:rPr>
                <w:rStyle w:val="23"/>
                <w:rFonts w:hint="default" w:ascii="Times New Roman" w:hAnsi="Times New Roman" w:cs="Times New Roman" w:eastAsiaTheme="minorEastAsia"/>
                <w:color w:val="auto"/>
                <w:lang w:eastAsia="zh-CN" w:bidi="ar"/>
              </w:rPr>
            </w:pPr>
            <w:r>
              <w:rPr>
                <w:rFonts w:hint="default" w:ascii="Times New Roman" w:hAnsi="Times New Roman" w:cs="Times New Roman" w:eastAsiaTheme="minorEastAsia"/>
                <w:color w:val="auto"/>
                <w:sz w:val="21"/>
                <w:szCs w:val="21"/>
                <w:lang w:eastAsia="zh-CN"/>
              </w:rPr>
              <w:t>中药特殊标注提醒</w:t>
            </w:r>
          </w:p>
        </w:tc>
        <w:tc>
          <w:tcPr>
            <w:tcW w:w="6976" w:type="dxa"/>
            <w:vAlign w:val="center"/>
          </w:tcPr>
          <w:p w14:paraId="4C042B37">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开具毒性中药或者特殊的中药时，需要标注特殊前煮要求，并提醒医生；可自定义维护标注内容与特殊中药需要标注的药品标识。</w:t>
            </w:r>
          </w:p>
        </w:tc>
      </w:tr>
      <w:tr w14:paraId="19597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685" w:type="dxa"/>
            <w:vAlign w:val="center"/>
          </w:tcPr>
          <w:p w14:paraId="00930590">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35</w:t>
            </w:r>
          </w:p>
        </w:tc>
        <w:tc>
          <w:tcPr>
            <w:tcW w:w="1603" w:type="dxa"/>
            <w:vAlign w:val="center"/>
          </w:tcPr>
          <w:p w14:paraId="222A0C0F">
            <w:pPr>
              <w:widowControl/>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lang w:eastAsia="zh-CN"/>
              </w:rPr>
              <w:t>用药频次禁用审查</w:t>
            </w:r>
          </w:p>
        </w:tc>
        <w:tc>
          <w:tcPr>
            <w:tcW w:w="6976" w:type="dxa"/>
            <w:vAlign w:val="center"/>
          </w:tcPr>
          <w:p w14:paraId="4073FD27">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可维护药品禁止使用的用药频次设置，当医生所开药品的用药频次为设置禁用的时，系统则会提醒医生调整用药方案；如果有设置药品的可用频次，当医生使用了未设置进去的频次时，系统则会提醒医生调整用药方案。</w:t>
            </w:r>
          </w:p>
        </w:tc>
      </w:tr>
      <w:tr w14:paraId="3C502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3E6C9BD">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36</w:t>
            </w:r>
          </w:p>
        </w:tc>
        <w:tc>
          <w:tcPr>
            <w:tcW w:w="1603" w:type="dxa"/>
            <w:vAlign w:val="center"/>
          </w:tcPr>
          <w:p w14:paraId="4F27EA84">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麻醉、精神药品重复开具提醒</w:t>
            </w:r>
          </w:p>
        </w:tc>
        <w:tc>
          <w:tcPr>
            <w:tcW w:w="6976" w:type="dxa"/>
            <w:vAlign w:val="center"/>
          </w:tcPr>
          <w:p w14:paraId="769D4391">
            <w:pPr>
              <w:widowControl/>
              <w:textAlignment w:val="top"/>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同一患者在规定时间内在医联体内不同科室药生重复或反复开具麻精药品，应该及时提示。</w:t>
            </w:r>
          </w:p>
        </w:tc>
      </w:tr>
      <w:tr w14:paraId="0221F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A006FC8">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37</w:t>
            </w:r>
          </w:p>
        </w:tc>
        <w:tc>
          <w:tcPr>
            <w:tcW w:w="1603" w:type="dxa"/>
            <w:vAlign w:val="center"/>
          </w:tcPr>
          <w:p w14:paraId="0DCDA911">
            <w:pPr>
              <w:widowControl/>
              <w:textAlignment w:val="center"/>
              <w:rPr>
                <w:rStyle w:val="23"/>
                <w:rFonts w:hint="default" w:ascii="Times New Roman" w:hAnsi="Times New Roman" w:cs="Times New Roman"/>
                <w:color w:val="auto"/>
                <w:lang w:eastAsia="zh-CN" w:bidi="ar"/>
              </w:rPr>
            </w:pPr>
            <w:r>
              <w:rPr>
                <w:rStyle w:val="23"/>
                <w:rFonts w:hint="default" w:ascii="Times New Roman" w:hAnsi="Times New Roman" w:cs="Times New Roman"/>
                <w:color w:val="auto"/>
                <w:lang w:eastAsia="zh-CN" w:bidi="ar"/>
              </w:rPr>
              <w:t>合适的溶媒规格选择审查</w:t>
            </w:r>
          </w:p>
        </w:tc>
        <w:tc>
          <w:tcPr>
            <w:tcW w:w="6976" w:type="dxa"/>
            <w:vAlign w:val="center"/>
          </w:tcPr>
          <w:p w14:paraId="58DF4C97">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根据所用药物溶媒规格的要求，例如：医嘱中葡萄糖注射液剂量为250ml，但选择的葡萄糖注射液规格为500ml/袋的溶媒，系统提示更换250ml/袋规格的葡萄糖注射液。</w:t>
            </w:r>
          </w:p>
        </w:tc>
      </w:tr>
      <w:tr w14:paraId="42183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C254E3A">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38</w:t>
            </w:r>
          </w:p>
        </w:tc>
        <w:tc>
          <w:tcPr>
            <w:tcW w:w="1603" w:type="dxa"/>
            <w:vAlign w:val="center"/>
          </w:tcPr>
          <w:p w14:paraId="208031C2">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药品单独输注审查</w:t>
            </w:r>
          </w:p>
        </w:tc>
        <w:tc>
          <w:tcPr>
            <w:tcW w:w="6976" w:type="dxa"/>
            <w:vAlign w:val="center"/>
          </w:tcPr>
          <w:p w14:paraId="7AC76551">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可设置哪些药品必须单独输注；哪些药品不能单独输注；如果超出设置范围系统则会提醒；例如：氯化钾注射液不能单独输注；</w:t>
            </w:r>
          </w:p>
        </w:tc>
      </w:tr>
      <w:tr w14:paraId="5DFC9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685" w:type="dxa"/>
            <w:vAlign w:val="center"/>
          </w:tcPr>
          <w:p w14:paraId="7FF1B6D6">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39</w:t>
            </w:r>
          </w:p>
        </w:tc>
        <w:tc>
          <w:tcPr>
            <w:tcW w:w="1603" w:type="dxa"/>
            <w:vAlign w:val="center"/>
          </w:tcPr>
          <w:p w14:paraId="4A14744E">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药品总量限制审查</w:t>
            </w:r>
          </w:p>
        </w:tc>
        <w:tc>
          <w:tcPr>
            <w:tcW w:w="6976" w:type="dxa"/>
            <w:vAlign w:val="center"/>
          </w:tcPr>
          <w:p w14:paraId="78A4A9A4">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设置药品最大总量限制；如果总量超出设置限值时，系统则提醒医生修改用药方案。</w:t>
            </w:r>
          </w:p>
        </w:tc>
      </w:tr>
      <w:tr w14:paraId="0C16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685" w:type="dxa"/>
            <w:vAlign w:val="center"/>
          </w:tcPr>
          <w:p w14:paraId="351B8746">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40</w:t>
            </w:r>
          </w:p>
        </w:tc>
        <w:tc>
          <w:tcPr>
            <w:tcW w:w="1603" w:type="dxa"/>
            <w:vAlign w:val="center"/>
          </w:tcPr>
          <w:p w14:paraId="13694D28">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麻醉/精神药品事前预警监测</w:t>
            </w:r>
          </w:p>
        </w:tc>
        <w:tc>
          <w:tcPr>
            <w:tcW w:w="6976" w:type="dxa"/>
            <w:vAlign w:val="center"/>
          </w:tcPr>
          <w:p w14:paraId="1C8C7A00">
            <w:pPr>
              <w:pStyle w:val="24"/>
              <w:numPr>
                <w:ilvl w:val="0"/>
                <w:numId w:val="0"/>
              </w:numPr>
              <w:ind w:leftChars="0"/>
              <w:jc w:val="left"/>
              <w:rPr>
                <w:rFonts w:hint="default" w:ascii="Times New Roman" w:hAnsi="Times New Roman" w:cs="Times New Roman" w:eastAsiaTheme="minorEastAsia"/>
                <w:color w:val="auto"/>
                <w:kern w:val="0"/>
                <w:szCs w:val="21"/>
              </w:rPr>
            </w:pPr>
            <w:r>
              <w:rPr>
                <w:rFonts w:hint="default" w:ascii="Times New Roman" w:hAnsi="Times New Roman" w:cs="Times New Roman" w:eastAsiaTheme="minorEastAsia"/>
                <w:color w:val="auto"/>
                <w:kern w:val="0"/>
                <w:szCs w:val="21"/>
                <w:lang w:val="en-US" w:eastAsia="zh-CN"/>
              </w:rPr>
              <w:t>1.</w:t>
            </w:r>
            <w:r>
              <w:rPr>
                <w:rFonts w:hint="default" w:ascii="Times New Roman" w:hAnsi="Times New Roman" w:cs="Times New Roman" w:eastAsiaTheme="minorEastAsia"/>
                <w:color w:val="auto"/>
                <w:kern w:val="0"/>
                <w:szCs w:val="21"/>
              </w:rPr>
              <w:t>患者或代办人身份证号未填写身份证号提示。</w:t>
            </w:r>
          </w:p>
          <w:p w14:paraId="782B2923">
            <w:pPr>
              <w:pStyle w:val="24"/>
              <w:numPr>
                <w:ilvl w:val="0"/>
                <w:numId w:val="0"/>
              </w:numPr>
              <w:ind w:leftChars="0"/>
              <w:jc w:val="left"/>
              <w:rPr>
                <w:rFonts w:hint="default" w:ascii="Times New Roman" w:hAnsi="Times New Roman" w:cs="Times New Roman" w:eastAsiaTheme="minorEastAsia"/>
                <w:color w:val="auto"/>
                <w:kern w:val="0"/>
                <w:szCs w:val="21"/>
              </w:rPr>
            </w:pPr>
            <w:r>
              <w:rPr>
                <w:rFonts w:hint="default" w:ascii="Times New Roman" w:hAnsi="Times New Roman" w:cs="Times New Roman" w:eastAsiaTheme="minorEastAsia"/>
                <w:color w:val="auto"/>
                <w:kern w:val="0"/>
                <w:szCs w:val="21"/>
                <w:lang w:val="en-US" w:eastAsia="zh-CN"/>
              </w:rPr>
              <w:t>2.</w:t>
            </w:r>
            <w:r>
              <w:rPr>
                <w:rFonts w:hint="default" w:ascii="Times New Roman" w:hAnsi="Times New Roman" w:cs="Times New Roman" w:eastAsiaTheme="minorEastAsia"/>
                <w:color w:val="auto"/>
                <w:kern w:val="0"/>
                <w:szCs w:val="21"/>
              </w:rPr>
              <w:t>医生不能为自己开具精麻药品审查：患者姓名与医生相同时提示, 然后对比患者身份证号和医生身份证号。</w:t>
            </w:r>
          </w:p>
          <w:p w14:paraId="42F7839E">
            <w:pPr>
              <w:pStyle w:val="24"/>
              <w:numPr>
                <w:ilvl w:val="0"/>
                <w:numId w:val="0"/>
              </w:numPr>
              <w:ind w:leftChars="0"/>
              <w:jc w:val="left"/>
              <w:rPr>
                <w:rFonts w:hint="default" w:ascii="Times New Roman" w:hAnsi="Times New Roman" w:cs="Times New Roman" w:eastAsiaTheme="minorEastAsia"/>
                <w:color w:val="auto"/>
                <w:kern w:val="0"/>
                <w:szCs w:val="21"/>
              </w:rPr>
            </w:pPr>
            <w:r>
              <w:rPr>
                <w:rFonts w:hint="default" w:ascii="Times New Roman" w:hAnsi="Times New Roman" w:cs="Times New Roman" w:eastAsiaTheme="minorEastAsia"/>
                <w:color w:val="auto"/>
                <w:kern w:val="0"/>
                <w:szCs w:val="21"/>
                <w:lang w:val="en-US" w:eastAsia="zh-CN"/>
              </w:rPr>
              <w:t>3.</w:t>
            </w:r>
            <w:r>
              <w:rPr>
                <w:rFonts w:hint="default" w:ascii="Times New Roman" w:hAnsi="Times New Roman" w:cs="Times New Roman" w:eastAsiaTheme="minorEastAsia"/>
                <w:color w:val="auto"/>
                <w:kern w:val="0"/>
                <w:szCs w:val="21"/>
              </w:rPr>
              <w:t>诊断不规范审查：未填写或购药、买药、开药、复查、咨询、取药、GY等诊断时不允许开药，提示：开具处方需补充具体诊断信息!</w:t>
            </w:r>
          </w:p>
          <w:p w14:paraId="3BB924CF">
            <w:pPr>
              <w:pStyle w:val="24"/>
              <w:numPr>
                <w:ilvl w:val="0"/>
                <w:numId w:val="0"/>
              </w:numPr>
              <w:ind w:leftChars="0"/>
              <w:jc w:val="left"/>
              <w:rPr>
                <w:rFonts w:hint="default" w:ascii="Times New Roman" w:hAnsi="Times New Roman" w:cs="Times New Roman" w:eastAsiaTheme="minorEastAsia"/>
                <w:color w:val="auto"/>
                <w:kern w:val="0"/>
                <w:szCs w:val="21"/>
              </w:rPr>
            </w:pPr>
            <w:r>
              <w:rPr>
                <w:rFonts w:hint="default" w:ascii="Times New Roman" w:hAnsi="Times New Roman" w:cs="Times New Roman" w:eastAsiaTheme="minorEastAsia"/>
                <w:color w:val="auto"/>
                <w:kern w:val="0"/>
                <w:szCs w:val="21"/>
                <w:lang w:val="en-US" w:eastAsia="zh-CN"/>
              </w:rPr>
              <w:t>4.</w:t>
            </w:r>
            <w:r>
              <w:rPr>
                <w:rFonts w:hint="default" w:ascii="Times New Roman" w:hAnsi="Times New Roman" w:cs="Times New Roman" w:eastAsiaTheme="minorEastAsia"/>
                <w:color w:val="auto"/>
                <w:kern w:val="0"/>
                <w:szCs w:val="21"/>
              </w:rPr>
              <w:t>根据《处方管理办法》规定麻醉和精神药品单次量、单日总量、给药频次、用法、处方天数要求进行限制，当出现异常时提示。</w:t>
            </w:r>
          </w:p>
          <w:p w14:paraId="70AF19FF">
            <w:pPr>
              <w:tabs>
                <w:tab w:val="left" w:pos="840"/>
              </w:tabs>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（3）允许提前取药天数：根据总量算出患者最后一次精麻药品处方的使用天数，判断到今天为止，精麻药品剩余的天数；如果设置的“允许提前取药天数”大于“剩余的天数”即可以开药。</w:t>
            </w:r>
          </w:p>
        </w:tc>
      </w:tr>
      <w:tr w14:paraId="70DEF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D233270">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41</w:t>
            </w:r>
          </w:p>
        </w:tc>
        <w:tc>
          <w:tcPr>
            <w:tcW w:w="1603" w:type="dxa"/>
            <w:vAlign w:val="center"/>
          </w:tcPr>
          <w:p w14:paraId="3E3E2D3B">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自定义规则管理（自定义规则优先级管理）</w:t>
            </w:r>
          </w:p>
        </w:tc>
        <w:tc>
          <w:tcPr>
            <w:tcW w:w="6976" w:type="dxa"/>
            <w:vAlign w:val="center"/>
          </w:tcPr>
          <w:p w14:paraId="3EBE8F8C">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医院可自定义维护属于本院的知识库规则，厂家原有规则不改变情况下，当本院维护了药品的相应规则，自动屏蔽厂家原对应的规则，删除或停用自定义维护药品的相应规则，厂家原对应的规则又自动重新生效。本院自定义规则库与厂家知识库规则分开不同库存储。</w:t>
            </w:r>
          </w:p>
        </w:tc>
      </w:tr>
      <w:tr w14:paraId="27FFB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A3AEFC6">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42</w:t>
            </w:r>
          </w:p>
        </w:tc>
        <w:tc>
          <w:tcPr>
            <w:tcW w:w="1603" w:type="dxa"/>
            <w:vAlign w:val="center"/>
          </w:tcPr>
          <w:p w14:paraId="685BDB2D">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lang w:eastAsia="zh-CN" w:bidi="ar"/>
              </w:rPr>
            </w:pPr>
            <w:r>
              <w:rPr>
                <w:rStyle w:val="23"/>
                <w:rFonts w:hint="default" w:ascii="Times New Roman" w:hAnsi="Times New Roman" w:cs="Times New Roman" w:eastAsiaTheme="minorEastAsia"/>
                <w:color w:val="auto"/>
                <w:lang w:eastAsia="zh-CN" w:bidi="ar"/>
              </w:rPr>
              <w:t>临床药学工作站统计分析</w:t>
            </w:r>
          </w:p>
        </w:tc>
        <w:tc>
          <w:tcPr>
            <w:tcW w:w="6976" w:type="dxa"/>
            <w:vAlign w:val="center"/>
          </w:tcPr>
          <w:p w14:paraId="194EF8E4">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1）按各种条件类型查询，再现问题处方。</w:t>
            </w:r>
          </w:p>
          <w:p w14:paraId="3680F6B3">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color w:val="auto"/>
                <w:sz w:val="21"/>
                <w:szCs w:val="21"/>
                <w:lang w:eastAsia="zh-CN" w:bidi="ar"/>
              </w:rPr>
            </w:pPr>
            <w:r>
              <w:rPr>
                <w:rStyle w:val="23"/>
                <w:rFonts w:hint="default" w:ascii="Times New Roman" w:hAnsi="Times New Roman" w:cs="Times New Roman" w:eastAsiaTheme="minorEastAsia"/>
                <w:color w:val="auto"/>
                <w:lang w:eastAsia="zh-CN" w:bidi="ar"/>
              </w:rPr>
              <w:t>2）按各种条件类型进行问题处方统计。</w:t>
            </w:r>
          </w:p>
        </w:tc>
      </w:tr>
      <w:tr w14:paraId="03665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4" w:type="dxa"/>
            <w:gridSpan w:val="3"/>
            <w:vAlign w:val="center"/>
          </w:tcPr>
          <w:p w14:paraId="6907678C">
            <w:pPr>
              <w:keepNext w:val="0"/>
              <w:keepLines w:val="0"/>
              <w:pageBreakBefore w:val="0"/>
              <w:widowControl/>
              <w:numPr>
                <w:ilvl w:val="0"/>
                <w:numId w:val="0"/>
              </w:numPr>
              <w:tabs>
                <w:tab w:val="left" w:pos="4620"/>
              </w:tabs>
              <w:kinsoku/>
              <w:wordWrap/>
              <w:overflowPunct/>
              <w:topLinePunct w:val="0"/>
              <w:autoSpaceDE/>
              <w:autoSpaceDN/>
              <w:bidi w:val="0"/>
              <w:adjustRightInd w:val="0"/>
              <w:snapToGrid w:val="0"/>
              <w:spacing w:line="330" w:lineRule="exact"/>
              <w:rPr>
                <w:rStyle w:val="23"/>
                <w:rFonts w:hint="default" w:ascii="Times New Roman" w:hAnsi="Times New Roman" w:cs="Times New Roman" w:eastAsiaTheme="minorEastAsia"/>
                <w:b/>
                <w:color w:val="auto"/>
                <w:sz w:val="24"/>
                <w:szCs w:val="24"/>
                <w:lang w:eastAsia="zh-CN" w:bidi="ar"/>
              </w:rPr>
            </w:pPr>
            <w:r>
              <w:rPr>
                <w:rFonts w:hint="default" w:ascii="Times New Roman" w:hAnsi="Times New Roman" w:cs="Times New Roman" w:eastAsiaTheme="minorEastAsia"/>
                <w:b/>
                <w:color w:val="auto"/>
                <w:sz w:val="24"/>
                <w:szCs w:val="24"/>
                <w:lang w:eastAsia="zh-CN"/>
              </w:rPr>
              <w:t>（四）区域处方点评功能模块。</w:t>
            </w:r>
            <w:r>
              <w:rPr>
                <w:rFonts w:hint="default" w:ascii="Times New Roman" w:hAnsi="Times New Roman" w:cs="Times New Roman" w:eastAsiaTheme="minorEastAsia"/>
                <w:color w:val="auto"/>
                <w:sz w:val="21"/>
                <w:szCs w:val="21"/>
                <w:lang w:eastAsia="zh-CN"/>
              </w:rPr>
              <w:t>功能要求：能够按照《医院处方点评管理规范（试行）》的通知（卫医管发（2010）28号）》文，将不规范处方、用药不适宜处方和超常处方判定点评标准嵌入系统。具体要求如下：</w:t>
            </w:r>
          </w:p>
        </w:tc>
      </w:tr>
      <w:tr w14:paraId="120C5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EC96E58">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1</w:t>
            </w:r>
          </w:p>
        </w:tc>
        <w:tc>
          <w:tcPr>
            <w:tcW w:w="1603" w:type="dxa"/>
            <w:vAlign w:val="center"/>
          </w:tcPr>
          <w:p w14:paraId="5A47DE9D">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处方/医嘱抽取规则的限定</w:t>
            </w:r>
          </w:p>
        </w:tc>
        <w:tc>
          <w:tcPr>
            <w:tcW w:w="6976" w:type="dxa"/>
            <w:vAlign w:val="center"/>
          </w:tcPr>
          <w:p w14:paraId="53811FB0">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color w:val="auto"/>
                <w:sz w:val="21"/>
                <w:szCs w:val="21"/>
                <w:lang w:eastAsia="zh-CN" w:bidi="ar"/>
              </w:rPr>
            </w:pPr>
            <w:r>
              <w:rPr>
                <w:rStyle w:val="23"/>
                <w:rFonts w:hint="default" w:ascii="Times New Roman" w:hAnsi="Times New Roman" w:cs="Times New Roman" w:eastAsiaTheme="minorEastAsia"/>
                <w:color w:val="auto"/>
                <w:lang w:eastAsia="zh-CN" w:bidi="ar"/>
              </w:rPr>
              <w:t>可以分别或联合方式，按就诊日期、就诊部门、医生姓名、疾病名称、药品名称、【基药】、【集采】、【国谈】、【特殊级抗菌药物】、【重点监控】、【麻醉】、【精一】等药品字典库中内容进行抽取处方或医嘱。</w:t>
            </w:r>
          </w:p>
        </w:tc>
      </w:tr>
      <w:tr w14:paraId="735A5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C4A1145">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val="en-US" w:eastAsia="zh-CN"/>
              </w:rPr>
              <w:t>2</w:t>
            </w:r>
          </w:p>
        </w:tc>
        <w:tc>
          <w:tcPr>
            <w:tcW w:w="1603" w:type="dxa"/>
            <w:vAlign w:val="center"/>
          </w:tcPr>
          <w:p w14:paraId="0D4EFCE9">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 xml:space="preserve">处方/医嘱抽取后信息系统自动点评 </w:t>
            </w:r>
          </w:p>
        </w:tc>
        <w:tc>
          <w:tcPr>
            <w:tcW w:w="6976" w:type="dxa"/>
            <w:vAlign w:val="center"/>
          </w:tcPr>
          <w:p w14:paraId="624C9C90">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上述抽查后的处方或医嘱信息系统根据处方点评规则进行自动点评，并生成不合理明细记录a） 不规范处方b）用药不适宜处方c）超常处方，并进行统计总合格率、三种不合格处方分别在总不格处方中占比。</w:t>
            </w:r>
          </w:p>
        </w:tc>
      </w:tr>
      <w:tr w14:paraId="52750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9284CFE">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3</w:t>
            </w:r>
          </w:p>
        </w:tc>
        <w:tc>
          <w:tcPr>
            <w:tcW w:w="1603" w:type="dxa"/>
            <w:vAlign w:val="center"/>
          </w:tcPr>
          <w:p w14:paraId="5FB3C011">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自动形成点评工作表</w:t>
            </w:r>
          </w:p>
        </w:tc>
        <w:tc>
          <w:tcPr>
            <w:tcW w:w="6976" w:type="dxa"/>
            <w:vAlign w:val="center"/>
          </w:tcPr>
          <w:p w14:paraId="3C1A8CE1">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通过自动点评后，可能按要求生成“处方点评工作表”，包括药品专项点评表（如抗菌药物、特殊药品、重点监控药品）等，统计到科室、到医生。</w:t>
            </w:r>
          </w:p>
        </w:tc>
      </w:tr>
      <w:tr w14:paraId="5CD19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5780D672">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4</w:t>
            </w:r>
          </w:p>
        </w:tc>
        <w:tc>
          <w:tcPr>
            <w:tcW w:w="1603" w:type="dxa"/>
            <w:vAlign w:val="center"/>
          </w:tcPr>
          <w:p w14:paraId="065C98B9">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对抽取的处方/医嘱进行点评</w:t>
            </w:r>
          </w:p>
        </w:tc>
        <w:tc>
          <w:tcPr>
            <w:tcW w:w="6976" w:type="dxa"/>
            <w:vAlign w:val="center"/>
          </w:tcPr>
          <w:p w14:paraId="259227F3">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点评组成员根据系统预处理结果，可全部或是有选择性的进行点评，并对系统处理的结果进行人工确认，同时可输入点评意见，形成最终结果。</w:t>
            </w:r>
          </w:p>
        </w:tc>
      </w:tr>
      <w:tr w14:paraId="537C1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F25A884">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5</w:t>
            </w:r>
          </w:p>
        </w:tc>
        <w:tc>
          <w:tcPr>
            <w:tcW w:w="1603" w:type="dxa"/>
            <w:vAlign w:val="center"/>
          </w:tcPr>
          <w:p w14:paraId="53FA73C9">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点评状态/点评标记</w:t>
            </w:r>
          </w:p>
        </w:tc>
        <w:tc>
          <w:tcPr>
            <w:tcW w:w="6976" w:type="dxa"/>
            <w:vAlign w:val="center"/>
          </w:tcPr>
          <w:p w14:paraId="51A41055">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5"/>
                <w:rFonts w:hint="default" w:ascii="Times New Roman" w:hAnsi="Times New Roman" w:cs="Times New Roman" w:eastAsiaTheme="minorEastAsia"/>
                <w:b w:val="0"/>
                <w:bCs w:val="0"/>
                <w:color w:val="auto"/>
                <w:lang w:eastAsia="zh-CN" w:bidi="ar"/>
              </w:rPr>
              <w:t>在点评界面中，对已点评的处方或医嘱需要显示浮层印章，印章标识“已点评”与点评时间；避免重复点评。</w:t>
            </w:r>
          </w:p>
        </w:tc>
      </w:tr>
      <w:tr w14:paraId="0FA96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2D2B4A8">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6</w:t>
            </w:r>
          </w:p>
        </w:tc>
        <w:tc>
          <w:tcPr>
            <w:tcW w:w="1603" w:type="dxa"/>
            <w:vAlign w:val="center"/>
          </w:tcPr>
          <w:p w14:paraId="4A0AE959">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专项点评专栏</w:t>
            </w:r>
          </w:p>
        </w:tc>
        <w:tc>
          <w:tcPr>
            <w:tcW w:w="6976" w:type="dxa"/>
            <w:vAlign w:val="center"/>
          </w:tcPr>
          <w:p w14:paraId="4484743A">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eastAsia" w:ascii="Times New Roman" w:hAnsi="Times New Roman" w:cs="Times New Roman" w:eastAsiaTheme="minorEastAsia"/>
                <w:color w:val="auto"/>
                <w:lang w:eastAsia="zh-CN" w:bidi="ar"/>
              </w:rPr>
              <w:t>可</w:t>
            </w:r>
            <w:r>
              <w:rPr>
                <w:rStyle w:val="23"/>
                <w:rFonts w:hint="default" w:ascii="Times New Roman" w:hAnsi="Times New Roman" w:cs="Times New Roman" w:eastAsiaTheme="minorEastAsia"/>
                <w:color w:val="auto"/>
                <w:lang w:eastAsia="zh-CN" w:bidi="ar"/>
              </w:rPr>
              <w:t>自定认义设置专项点评专栏，并进行专项点评。参照《北京市医疗机构处方专项点评指南(试行)》规定的“24项专项处方点评指南”设置点评专栏;并增加质子泵抑制剂专项处方点评专栏、自定义某种药品超常使用的专项点评。</w:t>
            </w:r>
          </w:p>
          <w:p w14:paraId="0E653ADF">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(1)门急诊处方点评</w:t>
            </w:r>
          </w:p>
          <w:p w14:paraId="07CD3867">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(2)住院病人医嘱点评</w:t>
            </w:r>
          </w:p>
          <w:p w14:paraId="63D8CE81">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(3)门急诊处方专项药品点评</w:t>
            </w:r>
          </w:p>
          <w:p w14:paraId="63A0208B">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(4)住院病人医嘱专项点评</w:t>
            </w:r>
          </w:p>
          <w:p w14:paraId="62592489">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(5)门急诊抗菌药物处方专项点评</w:t>
            </w:r>
          </w:p>
          <w:p w14:paraId="31182BE4">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(6)住院病人抗菌药物医嘱点评</w:t>
            </w:r>
          </w:p>
          <w:p w14:paraId="79B5EF18">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(7)门急诊抗肿瘤药物处方专项点评</w:t>
            </w:r>
          </w:p>
          <w:p w14:paraId="04F0F1E4">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(8)住院病人抗肿瘤药物专项点评</w:t>
            </w:r>
          </w:p>
          <w:p w14:paraId="67BB3F1C">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(9)门急诊中药饮片处方专项点评</w:t>
            </w:r>
          </w:p>
          <w:p w14:paraId="46FF07D1">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(10)住院病人中药饮片处方专项点评</w:t>
            </w:r>
          </w:p>
          <w:p w14:paraId="69335D56">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(11)门急诊中成药处方专项点评</w:t>
            </w:r>
          </w:p>
          <w:p w14:paraId="197D7E32">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(12)门(急)诊基本药物专项点评</w:t>
            </w:r>
          </w:p>
          <w:p w14:paraId="16E4A77B">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(13)门(急)诊双通道药品专项点评</w:t>
            </w:r>
          </w:p>
          <w:p w14:paraId="554F001B">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(14)围手术期抗菌药物医嘱点评</w:t>
            </w:r>
          </w:p>
          <w:p w14:paraId="02FB5598">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(15)住院病人碳青霉烯类及替加环素专项点评</w:t>
            </w:r>
          </w:p>
          <w:p w14:paraId="4C6920B0">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(16)住院病人特殊级抗菌药物(万古霉素等)专项点评</w:t>
            </w:r>
          </w:p>
          <w:p w14:paraId="245CA238">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(17)住院病人人血白蛋白专项点评</w:t>
            </w:r>
          </w:p>
          <w:p w14:paraId="1FA54F0D">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(18)住院病人肠外营养专项点评</w:t>
            </w:r>
          </w:p>
          <w:p w14:paraId="7179CF86">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(19)住院病人自备药专项点评</w:t>
            </w:r>
          </w:p>
          <w:p w14:paraId="4790BF8E">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(20)住院病人重点监控药品专项点评</w:t>
            </w:r>
          </w:p>
          <w:p w14:paraId="42BDDEE7">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(21)出院病人出院带药专项点评</w:t>
            </w:r>
          </w:p>
          <w:p w14:paraId="356E6809">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(22)用药排名、住院用药、出院带药医嘱点评</w:t>
            </w:r>
          </w:p>
          <w:p w14:paraId="1C43814B">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(23)门(急)诊外配处方点评</w:t>
            </w:r>
          </w:p>
          <w:p w14:paraId="1295F773">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(24)中药注射剂的专项点评</w:t>
            </w:r>
          </w:p>
          <w:p w14:paraId="4E5BDBF6">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(25)临床使用异常增长中成药的专项点评</w:t>
            </w:r>
          </w:p>
        </w:tc>
      </w:tr>
      <w:tr w14:paraId="4211C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DDFDD0C">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7</w:t>
            </w:r>
          </w:p>
        </w:tc>
        <w:tc>
          <w:tcPr>
            <w:tcW w:w="1603" w:type="dxa"/>
            <w:vAlign w:val="center"/>
          </w:tcPr>
          <w:p w14:paraId="03EF440F">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医生申诉请求</w:t>
            </w:r>
          </w:p>
        </w:tc>
        <w:tc>
          <w:tcPr>
            <w:tcW w:w="6976" w:type="dxa"/>
            <w:vAlign w:val="center"/>
          </w:tcPr>
          <w:p w14:paraId="1CE42672">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针对不合理处方点评结果，在医生工作站平台上都应有申诉功能，医生对自己被点评出并提示有不合理情况时，可确认发送并进行申诉，写明申诉原因，经过科室主任等经过审查，申诉成功后可不与进入统计不合理处方。</w:t>
            </w:r>
          </w:p>
        </w:tc>
      </w:tr>
      <w:tr w14:paraId="51DD0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91A1061">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8</w:t>
            </w:r>
          </w:p>
        </w:tc>
        <w:tc>
          <w:tcPr>
            <w:tcW w:w="1603" w:type="dxa"/>
            <w:vAlign w:val="center"/>
          </w:tcPr>
          <w:p w14:paraId="098A5B87">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绩效考核统计分析</w:t>
            </w:r>
          </w:p>
        </w:tc>
        <w:tc>
          <w:tcPr>
            <w:tcW w:w="6976" w:type="dxa"/>
            <w:vAlign w:val="center"/>
          </w:tcPr>
          <w:p w14:paraId="3EAC12B3">
            <w:pPr>
              <w:pStyle w:val="9"/>
              <w:keepNext w:val="0"/>
              <w:keepLines w:val="0"/>
              <w:pageBreakBefore w:val="0"/>
              <w:kinsoku/>
              <w:wordWrap/>
              <w:overflowPunct/>
              <w:topLinePunct w:val="0"/>
              <w:autoSpaceDE/>
              <w:autoSpaceDN/>
              <w:bidi w:val="0"/>
              <w:spacing w:after="0" w:line="330" w:lineRule="exact"/>
              <w:jc w:val="left"/>
              <w:rPr>
                <w:rFonts w:hint="default" w:ascii="Times New Roman" w:hAnsi="Times New Roman" w:cs="Times New Roman" w:eastAsiaTheme="minorEastAsia"/>
                <w:color w:val="auto"/>
                <w:szCs w:val="21"/>
              </w:rPr>
            </w:pPr>
            <w:r>
              <w:rPr>
                <w:rStyle w:val="23"/>
                <w:rFonts w:hint="default" w:ascii="Times New Roman" w:hAnsi="Times New Roman" w:cs="Times New Roman" w:eastAsiaTheme="minorEastAsia"/>
                <w:color w:val="auto"/>
                <w:lang w:bidi="ar"/>
              </w:rPr>
              <w:t>处方点评后，对药师的工作量统计分析，对有问题处方医生统计分析，对接绩效考核系统进行评估。</w:t>
            </w:r>
          </w:p>
        </w:tc>
      </w:tr>
      <w:tr w14:paraId="5ACCA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BDED537">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9</w:t>
            </w:r>
          </w:p>
        </w:tc>
        <w:tc>
          <w:tcPr>
            <w:tcW w:w="1603" w:type="dxa"/>
            <w:vAlign w:val="center"/>
          </w:tcPr>
          <w:p w14:paraId="6565C516">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eastAsia" w:ascii="Times New Roman" w:hAnsi="Times New Roman" w:cs="Times New Roman" w:eastAsiaTheme="minorEastAsia"/>
                <w:color w:val="auto"/>
                <w:lang w:eastAsia="zh-CN" w:bidi="ar"/>
              </w:rPr>
              <w:t>我的收藏</w:t>
            </w:r>
          </w:p>
        </w:tc>
        <w:tc>
          <w:tcPr>
            <w:tcW w:w="6976" w:type="dxa"/>
            <w:vAlign w:val="center"/>
          </w:tcPr>
          <w:p w14:paraId="509BA4DF">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门诊处方收藏查询:可按日期、患者姓名、医生、收藏栏目进行查询我的收藏处方内容，便于日后查询调阅与带教用例。住院医嘱收藏查询:可按日期、患者姓名、医生、收藏栏目进行查询我的收藏医嘱内容，便于日后查询调阅与带教用例</w:t>
            </w:r>
          </w:p>
        </w:tc>
      </w:tr>
      <w:tr w14:paraId="439AD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2D3BD4B">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10</w:t>
            </w:r>
          </w:p>
        </w:tc>
        <w:tc>
          <w:tcPr>
            <w:tcW w:w="1603" w:type="dxa"/>
            <w:vAlign w:val="center"/>
          </w:tcPr>
          <w:p w14:paraId="048AA915">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生成处方笺</w:t>
            </w:r>
          </w:p>
        </w:tc>
        <w:tc>
          <w:tcPr>
            <w:tcW w:w="6976" w:type="dxa"/>
            <w:vAlign w:val="center"/>
          </w:tcPr>
          <w:p w14:paraId="00889CC5">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在人工点评处方时电脑界面，可点击“生成处方笺”，进行查询处方笺格式内容；支持打印预览功能，并可直接打印处方笺，在处方笺界面中有第一张、上一张、下一张、最后一张按钮来切换不同的处方笺查看。</w:t>
            </w:r>
          </w:p>
        </w:tc>
      </w:tr>
      <w:tr w14:paraId="49A10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E494719">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11</w:t>
            </w:r>
          </w:p>
        </w:tc>
        <w:tc>
          <w:tcPr>
            <w:tcW w:w="1603" w:type="dxa"/>
            <w:vAlign w:val="center"/>
          </w:tcPr>
          <w:p w14:paraId="45DBD5C9">
            <w:pPr>
              <w:keepNext w:val="0"/>
              <w:keepLines w:val="0"/>
              <w:pageBreakBefore w:val="0"/>
              <w:widowControl/>
              <w:kinsoku/>
              <w:wordWrap/>
              <w:overflowPunct/>
              <w:topLinePunct w:val="0"/>
              <w:autoSpaceDE/>
              <w:autoSpaceDN/>
              <w:bidi w:val="0"/>
              <w:spacing w:line="330" w:lineRule="exact"/>
              <w:textAlignment w:val="center"/>
              <w:rPr>
                <w:rFonts w:hint="eastAsia" w:ascii="Times New Roman" w:hAnsi="Times New Roman" w:cs="Times New Roman" w:eastAsiaTheme="minorEastAsia"/>
                <w:color w:val="auto"/>
                <w:sz w:val="21"/>
                <w:szCs w:val="21"/>
                <w:lang w:eastAsia="zh-CN"/>
              </w:rPr>
            </w:pPr>
            <w:r>
              <w:rPr>
                <w:rFonts w:hint="eastAsia" w:ascii="Times New Roman" w:hAnsi="Times New Roman" w:cs="Times New Roman" w:eastAsiaTheme="minorEastAsia"/>
                <w:color w:val="auto"/>
                <w:sz w:val="21"/>
                <w:szCs w:val="21"/>
                <w:lang w:eastAsia="zh-CN"/>
              </w:rPr>
              <w:t>点评求助</w:t>
            </w:r>
          </w:p>
        </w:tc>
        <w:tc>
          <w:tcPr>
            <w:tcW w:w="6976" w:type="dxa"/>
            <w:vAlign w:val="center"/>
          </w:tcPr>
          <w:p w14:paraId="6B55413D">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药师点评过程中，可以向上级药师发起求助。上级药师可看到当前药师点评结果，并在点评系统首页查看被求助的处方信息，上级药师的点评记录也会反馈给当前点评药师。</w:t>
            </w:r>
          </w:p>
        </w:tc>
      </w:tr>
      <w:tr w14:paraId="48756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71AD117">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12</w:t>
            </w:r>
          </w:p>
        </w:tc>
        <w:tc>
          <w:tcPr>
            <w:tcW w:w="1603" w:type="dxa"/>
            <w:vAlign w:val="center"/>
          </w:tcPr>
          <w:p w14:paraId="082418DD">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抽样条件保留</w:t>
            </w:r>
          </w:p>
          <w:p w14:paraId="28AFB265">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rPr>
            </w:pPr>
          </w:p>
        </w:tc>
        <w:tc>
          <w:tcPr>
            <w:tcW w:w="6976" w:type="dxa"/>
            <w:vAlign w:val="center"/>
          </w:tcPr>
          <w:p w14:paraId="60131AE2">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将每次抽样的条件保存到数据库，并可查看到每次抽样的条件。抽样条件保留是为了避免在条件输入错误或遗漏时返回快速修改增加有条件。</w:t>
            </w:r>
          </w:p>
        </w:tc>
      </w:tr>
      <w:tr w14:paraId="505BE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B1250FA">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13</w:t>
            </w:r>
          </w:p>
        </w:tc>
        <w:tc>
          <w:tcPr>
            <w:tcW w:w="1603" w:type="dxa"/>
            <w:vAlign w:val="center"/>
          </w:tcPr>
          <w:p w14:paraId="3087233B">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一健合理</w:t>
            </w:r>
          </w:p>
        </w:tc>
        <w:tc>
          <w:tcPr>
            <w:tcW w:w="6976" w:type="dxa"/>
            <w:vAlign w:val="center"/>
          </w:tcPr>
          <w:p w14:paraId="7AD05785">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处方点评支持一健合理功能，点击一健合理，当前处方为合理，并自动跳到下一张处方界面。</w:t>
            </w:r>
          </w:p>
        </w:tc>
      </w:tr>
      <w:tr w14:paraId="470C2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5C733FB2">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14</w:t>
            </w:r>
          </w:p>
        </w:tc>
        <w:tc>
          <w:tcPr>
            <w:tcW w:w="1603" w:type="dxa"/>
            <w:vAlign w:val="center"/>
          </w:tcPr>
          <w:p w14:paraId="7CEAEE14">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门急诊(住院)药物使用科室排名抽样</w:t>
            </w:r>
          </w:p>
        </w:tc>
        <w:tc>
          <w:tcPr>
            <w:tcW w:w="6976" w:type="dxa"/>
            <w:vAlign w:val="center"/>
          </w:tcPr>
          <w:p w14:paraId="38AD2CDE">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先通过查询条件(查询条件包括:药品排序方式:金额/数量(所有药品数量都要换算成以mg或g计算而不以支、瓶等单位计算,要求嵌入换算公式)降序/升序，药品分类，药品名称，排名名次前N，处方时间)查询出符合条件的药品信息，并可导出EXCEL数据</w:t>
            </w:r>
          </w:p>
          <w:p w14:paraId="65CC4812">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2.再通过点击对应药品后面的“详情”按钮，查看对应药品在科室的使用情况(排名前 N位科室、金额/数量排名表)</w:t>
            </w:r>
          </w:p>
          <w:p w14:paraId="4E42B4FF">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3.点击“开始抽样”，自动根据上述排名条件选择，将药品、排名前 N 科室自动带入抽样条件中进行抽样。</w:t>
            </w:r>
          </w:p>
        </w:tc>
      </w:tr>
      <w:tr w14:paraId="7DB76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69BFFBA">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15</w:t>
            </w:r>
          </w:p>
        </w:tc>
        <w:tc>
          <w:tcPr>
            <w:tcW w:w="1603" w:type="dxa"/>
            <w:vAlign w:val="center"/>
          </w:tcPr>
          <w:p w14:paraId="42067159">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全院药品排名抽样</w:t>
            </w:r>
          </w:p>
        </w:tc>
        <w:tc>
          <w:tcPr>
            <w:tcW w:w="6976" w:type="dxa"/>
            <w:vAlign w:val="center"/>
          </w:tcPr>
          <w:p w14:paraId="23263FCE">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通过查询条件(查询条件包括:查询范围门诊/住院，药品排序方式:金额/数量，降序/升序，药品类型:西药、中成药、中药饮片，药品名称，排名名次前N，处方时间)查询符合条件的药品，然后进行选。选完即可点击生成专项栏目。无需进行单独药品的对比和手动维护</w:t>
            </w:r>
            <w:r>
              <w:rPr>
                <w:rStyle w:val="23"/>
                <w:rFonts w:hint="eastAsia" w:ascii="Times New Roman" w:hAnsi="Times New Roman" w:cs="Times New Roman" w:eastAsiaTheme="minorEastAsia"/>
                <w:color w:val="auto"/>
                <w:lang w:eastAsia="zh-CN" w:bidi="ar"/>
              </w:rPr>
              <w:t>。</w:t>
            </w:r>
          </w:p>
        </w:tc>
      </w:tr>
      <w:tr w14:paraId="70091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54DA263F">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16</w:t>
            </w:r>
          </w:p>
        </w:tc>
        <w:tc>
          <w:tcPr>
            <w:tcW w:w="1603" w:type="dxa"/>
            <w:vAlign w:val="center"/>
          </w:tcPr>
          <w:p w14:paraId="2AF5D825">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点评反馈查询</w:t>
            </w:r>
          </w:p>
        </w:tc>
        <w:tc>
          <w:tcPr>
            <w:tcW w:w="6976" w:type="dxa"/>
            <w:vAlign w:val="center"/>
          </w:tcPr>
          <w:p w14:paraId="61F08A29">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通过查询条件(查询条件包括:查询范围门诊/住院，药品排序方式:金额/数量，降序/升序，药品类型:西药、中成药、中药饮片，药品名称，排名名次前 N，处方时间)查询符合条件的药品，然后进行选。选完即可点击生成专项栏目。无需进行单独药品的对比和手动维护。</w:t>
            </w:r>
          </w:p>
          <w:p w14:paraId="3F805E1D">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1.门诊点评反馈查询:按时间段、科室、患者姓名、类别(全部/未发布/末读/存我已读)条件来搜索查询门诊点评反馈情况，查看到医生反馈申诉内容。</w:t>
            </w:r>
          </w:p>
          <w:p w14:paraId="7FCE901E">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2.住院点评反馈查询:按时间段、科室、患者姓名、类别(全部/未发布/未读/已读)条件来搜索查询住院点评反馈情况，查看到医生反馈申诉内容</w:t>
            </w:r>
          </w:p>
        </w:tc>
      </w:tr>
      <w:tr w14:paraId="08AF0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E5592BF">
            <w:pPr>
              <w:keepNext w:val="0"/>
              <w:keepLines w:val="0"/>
              <w:pageBreakBefore w:val="0"/>
              <w:widowControl/>
              <w:kinsoku/>
              <w:wordWrap/>
              <w:overflowPunct/>
              <w:topLinePunct w:val="0"/>
              <w:autoSpaceDE/>
              <w:autoSpaceDN/>
              <w:bidi w:val="0"/>
              <w:spacing w:line="330" w:lineRule="exact"/>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1</w:t>
            </w:r>
            <w:r>
              <w:rPr>
                <w:rFonts w:hint="eastAsia" w:ascii="Times New Roman" w:hAnsi="Times New Roman" w:cs="Times New Roman" w:eastAsiaTheme="minorEastAsia"/>
                <w:color w:val="auto"/>
                <w:sz w:val="21"/>
                <w:szCs w:val="21"/>
                <w:lang w:val="en-US" w:eastAsia="zh-CN"/>
              </w:rPr>
              <w:t>7</w:t>
            </w:r>
          </w:p>
        </w:tc>
        <w:tc>
          <w:tcPr>
            <w:tcW w:w="1603" w:type="dxa"/>
            <w:vAlign w:val="center"/>
          </w:tcPr>
          <w:p w14:paraId="5CBF37F0">
            <w:pPr>
              <w:keepNext w:val="0"/>
              <w:keepLines w:val="0"/>
              <w:pageBreakBefore w:val="0"/>
              <w:widowControl/>
              <w:kinsoku/>
              <w:wordWrap/>
              <w:overflowPunct/>
              <w:topLinePunct w:val="0"/>
              <w:autoSpaceDE/>
              <w:autoSpaceDN/>
              <w:bidi w:val="0"/>
              <w:spacing w:line="330" w:lineRule="exact"/>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门诊与急诊点评</w:t>
            </w:r>
            <w:r>
              <w:rPr>
                <w:rStyle w:val="28"/>
                <w:rFonts w:hint="default" w:ascii="Times New Roman" w:hAnsi="Times New Roman" w:cs="Times New Roman" w:eastAsiaTheme="minorEastAsia"/>
                <w:color w:val="auto"/>
                <w:lang w:eastAsia="zh-CN" w:bidi="ar"/>
              </w:rPr>
              <w:t>/</w:t>
            </w:r>
            <w:r>
              <w:rPr>
                <w:rStyle w:val="23"/>
                <w:rFonts w:hint="default" w:ascii="Times New Roman" w:hAnsi="Times New Roman" w:cs="Times New Roman" w:eastAsiaTheme="minorEastAsia"/>
                <w:color w:val="auto"/>
                <w:lang w:eastAsia="zh-CN" w:bidi="ar"/>
              </w:rPr>
              <w:t>专项点评统计汇总查询</w:t>
            </w:r>
          </w:p>
        </w:tc>
        <w:tc>
          <w:tcPr>
            <w:tcW w:w="6976" w:type="dxa"/>
            <w:vAlign w:val="center"/>
          </w:tcPr>
          <w:p w14:paraId="13932C03">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1)门诊/急诊总处方和抗菌药物处方抽查情况:统计门诊抗菌处方/急诊总处方，抽查日期、处方数(总)、合格数(总)、有问题数(总)、合格率%(总);抗菌药物处方数、抗菌药物使用率(抗菌药物处方数/总处方数)、合格的抗菌药物数、有问题处方数、合格率%，其中不适宜处方数及不适宜处方率。</w:t>
            </w:r>
          </w:p>
          <w:p w14:paraId="7B4FA47F">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2)门诊/急诊专项药物情况:统计专项药品名称、处方数(张)、问题处方数(张)、占抽查处方比例(%)、占问题处方比例(%)</w:t>
            </w:r>
          </w:p>
          <w:p w14:paraId="157D236D">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3)门诊/急诊处方抽查药品情况:统计抗菌药物、注射剂处方数、国家基本药物品种数、集采药品品种数、麻醉药品、第一类精神药品和第二类精神药品数。</w:t>
            </w:r>
          </w:p>
          <w:p w14:paraId="5F310C26">
            <w:pPr>
              <w:keepNext w:val="0"/>
              <w:keepLines w:val="0"/>
              <w:pageBreakBefore w:val="0"/>
              <w:widowControl/>
              <w:kinsoku/>
              <w:wordWrap/>
              <w:overflowPunct/>
              <w:topLinePunct w:val="0"/>
              <w:autoSpaceDE/>
              <w:autoSpaceDN/>
              <w:bidi w:val="0"/>
              <w:spacing w:line="330" w:lineRule="exact"/>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门诊/急诊基本药物情况:统计基本药物处方数、基本药物品种数、基本药物金额、处方总金额、基本药物平均品种单价(元/种)</w:t>
            </w:r>
          </w:p>
        </w:tc>
      </w:tr>
      <w:tr w14:paraId="23E23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4A899BB">
            <w:pPr>
              <w:keepNext w:val="0"/>
              <w:keepLines w:val="0"/>
              <w:pageBreakBefore w:val="0"/>
              <w:widowControl/>
              <w:numPr>
                <w:ilvl w:val="0"/>
                <w:numId w:val="0"/>
              </w:numPr>
              <w:kinsoku/>
              <w:wordWrap/>
              <w:overflowPunct/>
              <w:topLinePunct w:val="0"/>
              <w:autoSpaceDE/>
              <w:autoSpaceDN/>
              <w:bidi w:val="0"/>
              <w:spacing w:line="330" w:lineRule="exact"/>
              <w:ind w:left="0" w:leftChars="0" w:firstLine="0" w:firstLineChars="0"/>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val="en-US" w:eastAsia="zh-CN"/>
              </w:rPr>
              <w:t>1</w:t>
            </w:r>
            <w:r>
              <w:rPr>
                <w:rFonts w:hint="eastAsia" w:ascii="Times New Roman" w:hAnsi="Times New Roman" w:cs="Times New Roman" w:eastAsiaTheme="minorEastAsia"/>
                <w:color w:val="auto"/>
                <w:sz w:val="21"/>
                <w:szCs w:val="21"/>
                <w:lang w:val="en-US" w:eastAsia="zh-CN"/>
              </w:rPr>
              <w:t>8</w:t>
            </w:r>
          </w:p>
        </w:tc>
        <w:tc>
          <w:tcPr>
            <w:tcW w:w="1603" w:type="dxa"/>
            <w:vAlign w:val="center"/>
          </w:tcPr>
          <w:p w14:paraId="233A1C34">
            <w:pPr>
              <w:keepNext w:val="0"/>
              <w:keepLines w:val="0"/>
              <w:pageBreakBefore w:val="0"/>
              <w:widowControl/>
              <w:kinsoku/>
              <w:wordWrap/>
              <w:overflowPunct/>
              <w:topLinePunct w:val="0"/>
              <w:autoSpaceDE/>
              <w:autoSpaceDN/>
              <w:bidi w:val="0"/>
              <w:spacing w:line="330" w:lineRule="exact"/>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住院点评</w:t>
            </w:r>
            <w:r>
              <w:rPr>
                <w:rStyle w:val="28"/>
                <w:rFonts w:hint="default" w:ascii="Times New Roman" w:hAnsi="Times New Roman" w:cs="Times New Roman" w:eastAsiaTheme="minorEastAsia"/>
                <w:color w:val="auto"/>
                <w:lang w:eastAsia="zh-CN" w:bidi="ar"/>
              </w:rPr>
              <w:t>/</w:t>
            </w:r>
            <w:r>
              <w:rPr>
                <w:rStyle w:val="23"/>
                <w:rFonts w:hint="default" w:ascii="Times New Roman" w:hAnsi="Times New Roman" w:cs="Times New Roman" w:eastAsiaTheme="minorEastAsia"/>
                <w:color w:val="auto"/>
                <w:lang w:eastAsia="zh-CN" w:bidi="ar"/>
              </w:rPr>
              <w:t>专项点评统计汇总查询</w:t>
            </w:r>
          </w:p>
        </w:tc>
        <w:tc>
          <w:tcPr>
            <w:tcW w:w="6976" w:type="dxa"/>
            <w:vAlign w:val="center"/>
          </w:tcPr>
          <w:p w14:paraId="6118A9BD">
            <w:pPr>
              <w:keepNext w:val="0"/>
              <w:keepLines w:val="0"/>
              <w:pageBreakBefore w:val="0"/>
              <w:widowControl/>
              <w:kinsoku/>
              <w:wordWrap/>
              <w:overflowPunct/>
              <w:topLinePunct w:val="0"/>
              <w:autoSpaceDE/>
              <w:autoSpaceDN/>
              <w:bidi w:val="0"/>
              <w:spacing w:line="330" w:lineRule="exact"/>
              <w:textAlignment w:val="top"/>
              <w:rPr>
                <w:rStyle w:val="28"/>
                <w:rFonts w:hint="default" w:ascii="Times New Roman" w:hAnsi="Times New Roman" w:cs="Times New Roman" w:eastAsiaTheme="minorEastAsia"/>
                <w:color w:val="auto"/>
                <w:lang w:eastAsia="zh-CN" w:bidi="ar"/>
              </w:rPr>
            </w:pPr>
            <w:r>
              <w:rPr>
                <w:rStyle w:val="28"/>
                <w:rFonts w:hint="default" w:ascii="Times New Roman" w:hAnsi="Times New Roman" w:cs="Times New Roman" w:eastAsiaTheme="minorEastAsia"/>
                <w:color w:val="auto"/>
                <w:lang w:eastAsia="zh-CN" w:bidi="ar"/>
              </w:rPr>
              <w:t>(1)住院医嘱抽查情况-概况:统计抽查日期、医嘱数、合格数、有问题数合格率%,抗菌药物处方数、抗菌药物使用率(抗菌药物处方数/总处方数)合格的抗菌药物数、有问题处方数、合格率%，其中不适宜处方数及不适官处方率。</w:t>
            </w:r>
          </w:p>
          <w:p w14:paraId="58EE3E43">
            <w:pPr>
              <w:keepNext w:val="0"/>
              <w:keepLines w:val="0"/>
              <w:pageBreakBefore w:val="0"/>
              <w:widowControl/>
              <w:kinsoku/>
              <w:wordWrap/>
              <w:overflowPunct/>
              <w:topLinePunct w:val="0"/>
              <w:autoSpaceDE/>
              <w:autoSpaceDN/>
              <w:bidi w:val="0"/>
              <w:spacing w:line="330" w:lineRule="exact"/>
              <w:textAlignment w:val="top"/>
              <w:rPr>
                <w:rStyle w:val="28"/>
                <w:rFonts w:hint="default" w:ascii="Times New Roman" w:hAnsi="Times New Roman" w:cs="Times New Roman" w:eastAsiaTheme="minorEastAsia"/>
                <w:color w:val="auto"/>
                <w:lang w:eastAsia="zh-CN" w:bidi="ar"/>
              </w:rPr>
            </w:pPr>
            <w:r>
              <w:rPr>
                <w:rStyle w:val="28"/>
                <w:rFonts w:hint="default" w:ascii="Times New Roman" w:hAnsi="Times New Roman" w:cs="Times New Roman" w:eastAsiaTheme="minorEastAsia"/>
                <w:color w:val="auto"/>
                <w:lang w:eastAsia="zh-CN" w:bidi="ar"/>
              </w:rPr>
              <w:t>(2)住院基本药物、集采药品品种数、麻醉药品、第一类精神药品和第二类精神药品数情况-概况:统计上述药物处方数、药物品种数、药物金额、药物平均品种单价(元/种)。</w:t>
            </w:r>
          </w:p>
          <w:p w14:paraId="33C85A53">
            <w:pPr>
              <w:keepNext w:val="0"/>
              <w:keepLines w:val="0"/>
              <w:pageBreakBefore w:val="0"/>
              <w:widowControl/>
              <w:kinsoku/>
              <w:wordWrap/>
              <w:overflowPunct/>
              <w:topLinePunct w:val="0"/>
              <w:autoSpaceDE/>
              <w:autoSpaceDN/>
              <w:bidi w:val="0"/>
              <w:spacing w:line="330" w:lineRule="exact"/>
              <w:textAlignment w:val="top"/>
              <w:rPr>
                <w:rStyle w:val="28"/>
                <w:rFonts w:hint="default" w:ascii="Times New Roman" w:hAnsi="Times New Roman" w:cs="Times New Roman" w:eastAsiaTheme="minorEastAsia"/>
                <w:color w:val="auto"/>
                <w:lang w:eastAsia="zh-CN" w:bidi="ar"/>
              </w:rPr>
            </w:pPr>
            <w:r>
              <w:rPr>
                <w:rStyle w:val="28"/>
                <w:rFonts w:hint="default" w:ascii="Times New Roman" w:hAnsi="Times New Roman" w:cs="Times New Roman" w:eastAsiaTheme="minorEastAsia"/>
                <w:color w:val="auto"/>
                <w:lang w:eastAsia="zh-CN" w:bidi="ar"/>
              </w:rPr>
              <w:t>(3)住院医嘱抽查情况-科室分布情况:统:准科室，处方数、合格数、有问题数、合格率%、抗菌药物处方数、抗菌药物使用率、抗菌药物合格数、抗菌药物有问题数、抗菌药物合格率%，特殊使用抗菌药物处方数。</w:t>
            </w:r>
          </w:p>
          <w:p w14:paraId="09977DBA">
            <w:pPr>
              <w:keepNext w:val="0"/>
              <w:keepLines w:val="0"/>
              <w:pageBreakBefore w:val="0"/>
              <w:widowControl/>
              <w:kinsoku/>
              <w:wordWrap/>
              <w:overflowPunct/>
              <w:topLinePunct w:val="0"/>
              <w:autoSpaceDE/>
              <w:autoSpaceDN/>
              <w:bidi w:val="0"/>
              <w:spacing w:line="330" w:lineRule="exact"/>
              <w:textAlignment w:val="top"/>
              <w:rPr>
                <w:rStyle w:val="28"/>
                <w:rFonts w:hint="default" w:ascii="Times New Roman" w:hAnsi="Times New Roman" w:cs="Times New Roman" w:eastAsiaTheme="minorEastAsia"/>
                <w:color w:val="auto"/>
                <w:lang w:eastAsia="zh-CN" w:bidi="ar"/>
              </w:rPr>
            </w:pPr>
            <w:r>
              <w:rPr>
                <w:rStyle w:val="28"/>
                <w:rFonts w:hint="default" w:ascii="Times New Roman" w:hAnsi="Times New Roman" w:cs="Times New Roman" w:eastAsiaTheme="minorEastAsia"/>
                <w:color w:val="auto"/>
                <w:lang w:eastAsia="zh-CN" w:bidi="ar"/>
              </w:rPr>
              <w:t>(4)住院医嘱抽查情况-医生分布情况:统计抽查科室、抽查医生、处方数、药物合格数、有问题数、合格率%、抗菌药物处方数、抗菌药物使用率、抗菌药物合格数、抗菌药物有问题数、抗菌药物合格率%</w:t>
            </w:r>
          </w:p>
          <w:p w14:paraId="270B9ACA">
            <w:pPr>
              <w:keepNext w:val="0"/>
              <w:keepLines w:val="0"/>
              <w:pageBreakBefore w:val="0"/>
              <w:widowControl/>
              <w:kinsoku/>
              <w:wordWrap/>
              <w:overflowPunct/>
              <w:topLinePunct w:val="0"/>
              <w:autoSpaceDE/>
              <w:autoSpaceDN/>
              <w:bidi w:val="0"/>
              <w:spacing w:line="330" w:lineRule="exact"/>
              <w:textAlignment w:val="top"/>
              <w:rPr>
                <w:rFonts w:hint="default" w:ascii="Times New Roman" w:hAnsi="Times New Roman" w:cs="Times New Roman" w:eastAsiaTheme="minorEastAsia"/>
                <w:b/>
                <w:bCs/>
                <w:color w:val="auto"/>
                <w:sz w:val="21"/>
                <w:szCs w:val="21"/>
                <w:lang w:eastAsia="zh-CN"/>
              </w:rPr>
            </w:pPr>
            <w:r>
              <w:rPr>
                <w:rStyle w:val="28"/>
                <w:rFonts w:hint="default" w:ascii="Times New Roman" w:hAnsi="Times New Roman" w:cs="Times New Roman" w:eastAsiaTheme="minorEastAsia"/>
                <w:color w:val="auto"/>
                <w:lang w:eastAsia="zh-CN" w:bidi="ar"/>
              </w:rPr>
              <w:t>(5)住院问题医嘱分析表:统计显示住院号、患者姓名、性别、年龄、科室人院日期、出院日期、诊断、问题医嘱类型、问题相关药物及内容、用药信息、人工点评、经治医生、审核药师。</w:t>
            </w:r>
            <w:r>
              <w:rPr>
                <w:rFonts w:hint="default" w:ascii="Times New Roman" w:hAnsi="Times New Roman" w:cs="Times New Roman" w:eastAsiaTheme="minorEastAsia"/>
                <w:b/>
                <w:bCs/>
                <w:color w:val="auto"/>
                <w:sz w:val="21"/>
                <w:szCs w:val="21"/>
                <w:lang w:eastAsia="zh-CN"/>
              </w:rPr>
              <w:t xml:space="preserve"> </w:t>
            </w:r>
          </w:p>
        </w:tc>
      </w:tr>
      <w:tr w14:paraId="6671B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9264" w:type="dxa"/>
            <w:gridSpan w:val="3"/>
            <w:vAlign w:val="center"/>
          </w:tcPr>
          <w:p w14:paraId="50592ABE">
            <w:pPr>
              <w:rPr>
                <w:rStyle w:val="23"/>
                <w:rFonts w:hint="default" w:ascii="Times New Roman" w:hAnsi="Times New Roman" w:cs="Times New Roman" w:eastAsiaTheme="minorEastAsia"/>
                <w:b/>
                <w:color w:val="auto"/>
                <w:sz w:val="24"/>
                <w:szCs w:val="24"/>
                <w:lang w:eastAsia="zh-CN" w:bidi="ar"/>
              </w:rPr>
            </w:pPr>
            <w:r>
              <w:rPr>
                <w:rFonts w:hint="default" w:ascii="Times New Roman" w:hAnsi="Times New Roman" w:cs="Times New Roman" w:eastAsiaTheme="minorEastAsia"/>
                <w:b/>
                <w:color w:val="auto"/>
                <w:sz w:val="24"/>
                <w:szCs w:val="24"/>
                <w:lang w:eastAsia="zh-CN"/>
              </w:rPr>
              <w:t>（五）区域药物使用统计监测功能模块</w:t>
            </w:r>
          </w:p>
        </w:tc>
      </w:tr>
      <w:tr w14:paraId="3240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4" w:type="dxa"/>
            <w:gridSpan w:val="3"/>
            <w:vAlign w:val="center"/>
          </w:tcPr>
          <w:p w14:paraId="36FD2065">
            <w:pPr>
              <w:widowControl/>
              <w:ind w:firstLine="210" w:firstLineChars="100"/>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一）抗菌药物使用情况的统计</w:t>
            </w:r>
          </w:p>
        </w:tc>
      </w:tr>
      <w:tr w14:paraId="4F46E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DAA20DC">
            <w:pPr>
              <w:widowControl/>
              <w:jc w:val="center"/>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1</w:t>
            </w:r>
          </w:p>
        </w:tc>
        <w:tc>
          <w:tcPr>
            <w:tcW w:w="1603" w:type="dxa"/>
            <w:vAlign w:val="center"/>
          </w:tcPr>
          <w:p w14:paraId="62F72CC5">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抗菌药物药品使用情况排名</w:t>
            </w:r>
          </w:p>
        </w:tc>
        <w:tc>
          <w:tcPr>
            <w:tcW w:w="6976" w:type="dxa"/>
            <w:vAlign w:val="center"/>
          </w:tcPr>
          <w:p w14:paraId="39A8291F">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分别对院、科两级使用前述药物品种、剂型、规格、使用量(DDDS)、使用金额进行汇总统计与排名。这此基础上，将此项功能扩展为可针对医生使用前述药物品种、剂型、规格、使用量(DDDS)、使用金额进行汇总统计与排名</w:t>
            </w:r>
            <w:r>
              <w:rPr>
                <w:rStyle w:val="23"/>
                <w:rFonts w:hint="eastAsia" w:ascii="Times New Roman" w:hAnsi="Times New Roman" w:cs="Times New Roman" w:eastAsiaTheme="minorEastAsia"/>
                <w:color w:val="auto"/>
                <w:lang w:eastAsia="zh-CN" w:bidi="ar"/>
              </w:rPr>
              <w:t>。</w:t>
            </w:r>
          </w:p>
        </w:tc>
      </w:tr>
      <w:tr w14:paraId="4E41B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D31F005">
            <w:pPr>
              <w:widowControl/>
              <w:jc w:val="center"/>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val="en-US" w:eastAsia="zh-CN"/>
              </w:rPr>
              <w:t>2</w:t>
            </w:r>
          </w:p>
        </w:tc>
        <w:tc>
          <w:tcPr>
            <w:tcW w:w="1603" w:type="dxa"/>
            <w:vAlign w:val="center"/>
          </w:tcPr>
          <w:p w14:paraId="476E1E80">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抗菌药物分级管理目录</w:t>
            </w:r>
          </w:p>
        </w:tc>
        <w:tc>
          <w:tcPr>
            <w:tcW w:w="6976" w:type="dxa"/>
            <w:vAlign w:val="center"/>
          </w:tcPr>
          <w:p w14:paraId="3D794FB0">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按医院抗菌药物使用分级管理目录及权限规定，对科室、处方医生权限管理情况统计、特殊使用抗菌药物使用情况统计，包括是否有会诊、是否标本微生物送检率，送检阳性率。</w:t>
            </w:r>
          </w:p>
        </w:tc>
      </w:tr>
      <w:tr w14:paraId="6172D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4FB2DA7">
            <w:pPr>
              <w:widowControl/>
              <w:jc w:val="center"/>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3</w:t>
            </w:r>
          </w:p>
        </w:tc>
        <w:tc>
          <w:tcPr>
            <w:tcW w:w="1603" w:type="dxa"/>
            <w:vAlign w:val="center"/>
          </w:tcPr>
          <w:p w14:paraId="536CB14C">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全院抗菌药物品种使用情况统计</w:t>
            </w:r>
          </w:p>
        </w:tc>
        <w:tc>
          <w:tcPr>
            <w:tcW w:w="6976" w:type="dxa"/>
            <w:vAlign w:val="center"/>
          </w:tcPr>
          <w:p w14:paraId="03AE220F">
            <w:pPr>
              <w:widowControl/>
              <w:textAlignment w:val="center"/>
              <w:rPr>
                <w:rStyle w:val="23"/>
                <w:rFonts w:hint="default" w:ascii="Times New Roman" w:hAnsi="Times New Roman" w:cs="Times New Roman" w:eastAsiaTheme="minorEastAsia"/>
                <w:color w:val="auto"/>
                <w:lang w:eastAsia="zh-CN" w:bidi="ar"/>
              </w:rPr>
            </w:pPr>
            <w:r>
              <w:rPr>
                <w:rStyle w:val="23"/>
                <w:rFonts w:hint="eastAsia" w:ascii="Times New Roman" w:hAnsi="Times New Roman" w:cs="Times New Roman" w:eastAsiaTheme="minorEastAsia"/>
                <w:color w:val="auto"/>
                <w:lang w:eastAsia="zh-CN" w:bidi="ar"/>
              </w:rPr>
              <w:t>按照时间段、门诊、急诊、住院、药品维度查看全院汇总各抗菌药物品种的用量、WHO DDD、剂量系数、DDDs、金额、生产企业等指标。</w:t>
            </w:r>
          </w:p>
        </w:tc>
      </w:tr>
      <w:tr w14:paraId="22F3F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8145A99">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4</w:t>
            </w:r>
          </w:p>
        </w:tc>
        <w:tc>
          <w:tcPr>
            <w:tcW w:w="1603" w:type="dxa"/>
            <w:vAlign w:val="center"/>
          </w:tcPr>
          <w:p w14:paraId="5497E8D7">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各科室抗菌</w:t>
            </w:r>
          </w:p>
          <w:p w14:paraId="5B76E501">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药物使用情况统计</w:t>
            </w:r>
          </w:p>
        </w:tc>
        <w:tc>
          <w:tcPr>
            <w:tcW w:w="6976" w:type="dxa"/>
            <w:vAlign w:val="center"/>
          </w:tcPr>
          <w:p w14:paraId="35C1A9F7">
            <w:pPr>
              <w:widowControl/>
              <w:textAlignment w:val="center"/>
              <w:rPr>
                <w:rStyle w:val="23"/>
                <w:rFonts w:hint="eastAsia" w:ascii="Times New Roman" w:hAnsi="Times New Roman" w:cs="Times New Roman" w:eastAsiaTheme="minorEastAsia"/>
                <w:color w:val="auto"/>
                <w:lang w:eastAsia="zh-CN" w:bidi="ar"/>
              </w:rPr>
            </w:pPr>
            <w:r>
              <w:rPr>
                <w:rStyle w:val="23"/>
                <w:rFonts w:hint="eastAsia" w:ascii="Times New Roman" w:hAnsi="Times New Roman" w:cs="Times New Roman" w:eastAsiaTheme="minorEastAsia"/>
                <w:color w:val="auto"/>
                <w:lang w:eastAsia="zh-CN" w:bidi="ar"/>
              </w:rPr>
              <w:t>按照时间段、门诊、急诊、住院、药品、科室维度查看汇总各科室的抗菌药物使用品种的用量、WHO DDD、剂量系数、DDDS、金额、离院带药 DDDS、生产企业等指标。</w:t>
            </w:r>
          </w:p>
        </w:tc>
      </w:tr>
      <w:tr w14:paraId="3E59C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94B88BA">
            <w:pPr>
              <w:widowControl/>
              <w:textAlignment w:val="center"/>
              <w:rPr>
                <w:rStyle w:val="23"/>
                <w:rFonts w:hint="default" w:ascii="Times New Roman" w:hAnsi="Times New Roman" w:cs="Times New Roman" w:eastAsiaTheme="minorEastAsia"/>
                <w:color w:val="auto"/>
                <w:lang w:val="en-US" w:eastAsia="zh-CN" w:bidi="ar"/>
              </w:rPr>
            </w:pPr>
            <w:r>
              <w:rPr>
                <w:rStyle w:val="23"/>
                <w:rFonts w:hint="eastAsia" w:ascii="Times New Roman" w:hAnsi="Times New Roman" w:cs="Times New Roman" w:eastAsiaTheme="minorEastAsia"/>
                <w:color w:val="auto"/>
                <w:lang w:val="en-US" w:eastAsia="zh-CN" w:bidi="ar"/>
              </w:rPr>
              <w:t>5</w:t>
            </w:r>
          </w:p>
        </w:tc>
        <w:tc>
          <w:tcPr>
            <w:tcW w:w="1603" w:type="dxa"/>
            <w:vAlign w:val="center"/>
          </w:tcPr>
          <w:p w14:paraId="55947248">
            <w:pPr>
              <w:widowControl/>
              <w:textAlignment w:val="center"/>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围术期抗菌药物使用情况表</w:t>
            </w:r>
          </w:p>
        </w:tc>
        <w:tc>
          <w:tcPr>
            <w:tcW w:w="6976" w:type="dxa"/>
            <w:vAlign w:val="center"/>
          </w:tcPr>
          <w:p w14:paraId="4ADAC835">
            <w:pPr>
              <w:widowControl/>
              <w:textAlignment w:val="center"/>
              <w:rPr>
                <w:rStyle w:val="23"/>
                <w:rFonts w:hint="eastAsia" w:ascii="Times New Roman" w:hAnsi="Times New Roman" w:cs="Times New Roman" w:eastAsiaTheme="minorEastAsia"/>
                <w:color w:val="auto"/>
                <w:lang w:eastAsia="zh-CN" w:bidi="ar"/>
              </w:rPr>
            </w:pPr>
            <w:r>
              <w:rPr>
                <w:rStyle w:val="23"/>
                <w:rFonts w:hint="eastAsia" w:ascii="Times New Roman" w:hAnsi="Times New Roman" w:cs="Times New Roman" w:eastAsiaTheme="minorEastAsia"/>
                <w:color w:val="auto"/>
                <w:lang w:eastAsia="zh-CN" w:bidi="ar"/>
              </w:rPr>
              <w:t>按照时间段、科室、Ⅰ类、II类等切口类型维度查看各患者的病案号、住院号、患者姓名、主治医生、入院科室、出院科室、入院时间、出院时间、病人类型、诊断信息、手术信息、住院唯一号、是否使用抗菌药等属性使用抗菌药物品种和时长。</w:t>
            </w:r>
          </w:p>
        </w:tc>
      </w:tr>
      <w:tr w14:paraId="47C4B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373B8A6">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6</w:t>
            </w:r>
          </w:p>
        </w:tc>
        <w:tc>
          <w:tcPr>
            <w:tcW w:w="1603" w:type="dxa"/>
            <w:vAlign w:val="center"/>
          </w:tcPr>
          <w:p w14:paraId="32AE4C7A">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抗菌药物门急诊指标</w:t>
            </w:r>
          </w:p>
        </w:tc>
        <w:tc>
          <w:tcPr>
            <w:tcW w:w="6976" w:type="dxa"/>
            <w:vAlign w:val="center"/>
          </w:tcPr>
          <w:p w14:paraId="75239781">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按照时间段、科室维度统计以下指标：</w:t>
            </w:r>
          </w:p>
          <w:p w14:paraId="049E2F2C">
            <w:pPr>
              <w:widowControl/>
              <w:ind w:firstLine="210" w:firstLineChars="100"/>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门诊就诊人数、抗菌药物使用人数、门诊处方数；抗菌药物处方数、注射剂处方数；门诊使用抗菌药物处方数与总处方数的比例，计算使用率（%），门诊注射剂处方数与使用抗菌药物处方数的比例，计算注射剂比例（%）。</w:t>
            </w:r>
          </w:p>
          <w:p w14:paraId="40FD1D70">
            <w:pPr>
              <w:widowControl/>
              <w:ind w:firstLine="210" w:firstLineChars="100"/>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急诊就诊人数、抗菌药物使用人数、急诊处方数；抗菌药物处方数、肌肉注射剂处方数、静脉注射处方数，特殊使用级处方数；急诊使用抗菌药物处方数与总处方数的比例，计算使用率（%）、急诊特殊使用级抗菌药物使用量占抗菌药物使用量的百分率等指标。急诊注射剂处方数与使用抗菌药物处方数的比例，计算注射剂比例（%）。</w:t>
            </w:r>
          </w:p>
        </w:tc>
      </w:tr>
      <w:tr w14:paraId="0B92F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2218FF6">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7</w:t>
            </w:r>
          </w:p>
        </w:tc>
        <w:tc>
          <w:tcPr>
            <w:tcW w:w="1603" w:type="dxa"/>
            <w:vAlign w:val="center"/>
          </w:tcPr>
          <w:p w14:paraId="4BBC30AA">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抗菌药物住院指标</w:t>
            </w:r>
          </w:p>
        </w:tc>
        <w:tc>
          <w:tcPr>
            <w:tcW w:w="6976" w:type="dxa"/>
            <w:vAlign w:val="center"/>
          </w:tcPr>
          <w:p w14:paraId="2A9EC4F0">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按照时间段、科室维度统计以下指标：</w:t>
            </w:r>
          </w:p>
          <w:p w14:paraId="00BA0B54">
            <w:pPr>
              <w:widowControl/>
              <w:ind w:firstLine="420" w:firstLineChars="200"/>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住院抗菌药物用量（DDDs），住院患者总人数、住院患者抗菌药物使用人次（%）、静脉用抗菌药物使用人次、计算住院患者抗菌药物使用比率（%）和静脉注射使用率（%），住院抗菌药物使用强度（DDDs/人天数）、住院患者特殊使用级抗菌药物人次和占抗菌药物使用人次的百分率、全院注射剂型抗菌药物使用量（DDDs）、全院口服型抗菌药物使用量（DDDs）、全院抗菌药物使用总金额、全院药物使用总金额等指标。</w:t>
            </w:r>
          </w:p>
        </w:tc>
      </w:tr>
      <w:tr w14:paraId="4BB4D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1ACD9C4">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8</w:t>
            </w:r>
          </w:p>
        </w:tc>
        <w:tc>
          <w:tcPr>
            <w:tcW w:w="1603" w:type="dxa"/>
            <w:vAlign w:val="center"/>
          </w:tcPr>
          <w:p w14:paraId="6A989D5F">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碳青霉烯类及替加环素使用情况信息表</w:t>
            </w:r>
          </w:p>
        </w:tc>
        <w:tc>
          <w:tcPr>
            <w:tcW w:w="6976" w:type="dxa"/>
            <w:vAlign w:val="center"/>
          </w:tcPr>
          <w:p w14:paraId="67FAE6D4">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按时间段、科室维度查看碳青霉烯类抗菌药物及替加环素使用基本情况表。</w:t>
            </w:r>
          </w:p>
        </w:tc>
      </w:tr>
      <w:tr w14:paraId="70564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9ECCCF3">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9</w:t>
            </w:r>
          </w:p>
        </w:tc>
        <w:tc>
          <w:tcPr>
            <w:tcW w:w="1603" w:type="dxa"/>
            <w:vAlign w:val="center"/>
          </w:tcPr>
          <w:p w14:paraId="3327D899">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抗菌药物综合使用情况表</w:t>
            </w:r>
          </w:p>
        </w:tc>
        <w:tc>
          <w:tcPr>
            <w:tcW w:w="6976" w:type="dxa"/>
            <w:vAlign w:val="center"/>
          </w:tcPr>
          <w:p w14:paraId="2BA6B652">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时间段、科室维度查看各科室总床日数、住院患者抗菌药物使用率、住院抗菌药物使用量（DDDs）、使用强度（DDDs/100床日）、特殊使用级抗菌药物使用率、特殊使用级抗菌药物使用量（DDDs）、门诊抗菌药物处方比例（按就诊人次）、急诊抗菌药物处方比例（按就诊人次）、门诊抗菌药物静脉使用率、急诊抗菌药物静脉使用率等指标。</w:t>
            </w:r>
          </w:p>
        </w:tc>
      </w:tr>
      <w:tr w14:paraId="70D16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741B888">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10</w:t>
            </w:r>
          </w:p>
        </w:tc>
        <w:tc>
          <w:tcPr>
            <w:tcW w:w="1603" w:type="dxa"/>
            <w:vAlign w:val="center"/>
          </w:tcPr>
          <w:p w14:paraId="01FFD135">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color w:val="auto"/>
                <w:lang w:eastAsia="zh-CN" w:bidi="ar"/>
              </w:rPr>
              <w:t>★</w:t>
            </w:r>
            <w:r>
              <w:rPr>
                <w:rStyle w:val="23"/>
                <w:rFonts w:hint="default" w:ascii="Times New Roman" w:hAnsi="Times New Roman" w:cs="Times New Roman" w:eastAsiaTheme="minorEastAsia"/>
                <w:color w:val="auto"/>
                <w:lang w:eastAsia="zh-CN" w:bidi="ar"/>
              </w:rPr>
              <w:t>医疗机构抗菌药物临床应用指标数据上报表</w:t>
            </w:r>
          </w:p>
        </w:tc>
        <w:tc>
          <w:tcPr>
            <w:tcW w:w="6976" w:type="dxa"/>
            <w:vAlign w:val="center"/>
          </w:tcPr>
          <w:p w14:paraId="37B209F1">
            <w:pPr>
              <w:widowControl/>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按照时间段、门诊、急诊、住院维度查看门诊以下指标：</w:t>
            </w:r>
          </w:p>
          <w:p w14:paraId="5F679F7F">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1）门诊患者数据</w:t>
            </w:r>
          </w:p>
          <w:p w14:paraId="78F047F6">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 xml:space="preserve">2）急诊患者数据 </w:t>
            </w:r>
          </w:p>
          <w:p w14:paraId="4EB9F217">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 xml:space="preserve">3）住院患者数据 </w:t>
            </w:r>
          </w:p>
        </w:tc>
      </w:tr>
      <w:tr w14:paraId="2FFE2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4E90DA0">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eastAsia="zh-CN"/>
              </w:rPr>
              <w:t>1</w:t>
            </w:r>
            <w:r>
              <w:rPr>
                <w:rFonts w:hint="eastAsia" w:ascii="Times New Roman" w:hAnsi="Times New Roman" w:cs="Times New Roman" w:eastAsiaTheme="minorEastAsia"/>
                <w:color w:val="auto"/>
                <w:sz w:val="21"/>
                <w:szCs w:val="21"/>
                <w:lang w:val="en-US" w:eastAsia="zh-CN"/>
              </w:rPr>
              <w:t>1</w:t>
            </w:r>
          </w:p>
        </w:tc>
        <w:tc>
          <w:tcPr>
            <w:tcW w:w="1603" w:type="dxa"/>
            <w:vAlign w:val="center"/>
          </w:tcPr>
          <w:p w14:paraId="3317FEAA">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抗菌药物品种和使用统计调查表</w:t>
            </w:r>
          </w:p>
        </w:tc>
        <w:tc>
          <w:tcPr>
            <w:tcW w:w="6976" w:type="dxa"/>
            <w:vAlign w:val="center"/>
          </w:tcPr>
          <w:p w14:paraId="45D2490E">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按照时间段、药品维度查看抗菌药物的门诊用量、门诊金额、住院用量、住院金额、出院带药用量、出院带药金额、总计用量、合计金额指标。</w:t>
            </w:r>
          </w:p>
        </w:tc>
      </w:tr>
      <w:tr w14:paraId="13F3A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B43F437">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w:t>
            </w:r>
            <w:r>
              <w:rPr>
                <w:rFonts w:hint="eastAsia" w:ascii="Times New Roman" w:hAnsi="Times New Roman" w:cs="Times New Roman" w:eastAsiaTheme="minorEastAsia"/>
                <w:color w:val="auto"/>
                <w:sz w:val="21"/>
                <w:szCs w:val="21"/>
                <w:lang w:val="en-US" w:eastAsia="zh-CN"/>
              </w:rPr>
              <w:t>2</w:t>
            </w:r>
          </w:p>
        </w:tc>
        <w:tc>
          <w:tcPr>
            <w:tcW w:w="1603" w:type="dxa"/>
            <w:vAlign w:val="center"/>
          </w:tcPr>
          <w:p w14:paraId="7B1EF74B">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（非）手术病人抗菌药物使用情况调查表</w:t>
            </w:r>
          </w:p>
        </w:tc>
        <w:tc>
          <w:tcPr>
            <w:tcW w:w="6976" w:type="dxa"/>
            <w:vAlign w:val="center"/>
          </w:tcPr>
          <w:p w14:paraId="268E26A8">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按照时间段、病案号、手术、非手术维度查看抗菌药物使用情况调查表。</w:t>
            </w:r>
          </w:p>
        </w:tc>
      </w:tr>
      <w:tr w14:paraId="65C59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38B0217">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w:t>
            </w:r>
            <w:r>
              <w:rPr>
                <w:rFonts w:hint="eastAsia" w:ascii="Times New Roman" w:hAnsi="Times New Roman" w:cs="Times New Roman" w:eastAsiaTheme="minorEastAsia"/>
                <w:color w:val="auto"/>
                <w:sz w:val="21"/>
                <w:szCs w:val="21"/>
                <w:lang w:val="en-US" w:eastAsia="zh-CN"/>
              </w:rPr>
              <w:t>3</w:t>
            </w:r>
          </w:p>
        </w:tc>
        <w:tc>
          <w:tcPr>
            <w:tcW w:w="1603" w:type="dxa"/>
            <w:vAlign w:val="center"/>
          </w:tcPr>
          <w:p w14:paraId="2E1DC93C">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抗菌药物使用金额统计</w:t>
            </w:r>
          </w:p>
        </w:tc>
        <w:tc>
          <w:tcPr>
            <w:tcW w:w="6976" w:type="dxa"/>
            <w:vAlign w:val="center"/>
          </w:tcPr>
          <w:p w14:paraId="62E46DE7">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按照时间段、全院、科室、医生、门急诊、住院查看抗菌药物使用的药品总收入、抗菌药物收入、特殊级抗菌药物收入、抗菌药物金额比例（%）、特殊级抗菌药物金额比例（%）等指标。</w:t>
            </w:r>
          </w:p>
        </w:tc>
      </w:tr>
      <w:tr w14:paraId="69DE1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2E362A4">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w:t>
            </w:r>
            <w:r>
              <w:rPr>
                <w:rFonts w:hint="eastAsia" w:ascii="Times New Roman" w:hAnsi="Times New Roman" w:cs="Times New Roman" w:eastAsiaTheme="minorEastAsia"/>
                <w:color w:val="auto"/>
                <w:sz w:val="21"/>
                <w:szCs w:val="21"/>
                <w:lang w:val="en-US" w:eastAsia="zh-CN"/>
              </w:rPr>
              <w:t>4</w:t>
            </w:r>
          </w:p>
        </w:tc>
        <w:tc>
          <w:tcPr>
            <w:tcW w:w="1603" w:type="dxa"/>
            <w:vAlign w:val="center"/>
          </w:tcPr>
          <w:p w14:paraId="2EB533C7">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临床微生物标本送检率统计</w:t>
            </w:r>
          </w:p>
        </w:tc>
        <w:tc>
          <w:tcPr>
            <w:tcW w:w="6976" w:type="dxa"/>
            <w:vAlign w:val="center"/>
          </w:tcPr>
          <w:p w14:paraId="5985B0F0">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按照时间段、科室、医生维度查看全部抗菌药物、非限制级抗菌药物、限制级抗菌药物、特殊级抗菌药物的用药人次、送检人次、送检率等指标。</w:t>
            </w:r>
          </w:p>
        </w:tc>
      </w:tr>
      <w:tr w14:paraId="2EE65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A2B1C5C">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w:t>
            </w:r>
            <w:r>
              <w:rPr>
                <w:rFonts w:hint="eastAsia" w:ascii="Times New Roman" w:hAnsi="Times New Roman" w:cs="Times New Roman" w:eastAsiaTheme="minorEastAsia"/>
                <w:color w:val="auto"/>
                <w:sz w:val="21"/>
                <w:szCs w:val="21"/>
                <w:lang w:val="en-US" w:eastAsia="zh-CN"/>
              </w:rPr>
              <w:t>5</w:t>
            </w:r>
          </w:p>
        </w:tc>
        <w:tc>
          <w:tcPr>
            <w:tcW w:w="1603" w:type="dxa"/>
            <w:vAlign w:val="center"/>
          </w:tcPr>
          <w:p w14:paraId="0DD60851">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门急诊抗菌药物使用率</w:t>
            </w:r>
          </w:p>
        </w:tc>
        <w:tc>
          <w:tcPr>
            <w:tcW w:w="6976" w:type="dxa"/>
            <w:vAlign w:val="center"/>
          </w:tcPr>
          <w:p w14:paraId="79140DD1">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按照时间段、科室、医生维度查看门急诊使用抗菌药物的总人数、抗菌药物人次、抗菌药物使用率（%）；静脉用抗菌药物处方数、抗菌药物处方总数、静脉用抗菌药物比例（%）等指标。</w:t>
            </w:r>
          </w:p>
        </w:tc>
      </w:tr>
      <w:tr w14:paraId="13AC7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B2AA484">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w:t>
            </w:r>
            <w:r>
              <w:rPr>
                <w:rFonts w:hint="eastAsia" w:ascii="Times New Roman" w:hAnsi="Times New Roman" w:cs="Times New Roman" w:eastAsiaTheme="minorEastAsia"/>
                <w:color w:val="auto"/>
                <w:sz w:val="21"/>
                <w:szCs w:val="21"/>
                <w:lang w:val="en-US" w:eastAsia="zh-CN"/>
              </w:rPr>
              <w:t>6</w:t>
            </w:r>
          </w:p>
        </w:tc>
        <w:tc>
          <w:tcPr>
            <w:tcW w:w="1603" w:type="dxa"/>
            <w:vAlign w:val="center"/>
          </w:tcPr>
          <w:p w14:paraId="15A833AE">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住院抗菌药物使用率统计表</w:t>
            </w:r>
          </w:p>
        </w:tc>
        <w:tc>
          <w:tcPr>
            <w:tcW w:w="6976" w:type="dxa"/>
            <w:vAlign w:val="center"/>
          </w:tcPr>
          <w:p w14:paraId="45F7E751">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科室、医生维度查看住院使用抗菌药物的同期出院总人数、出院患者使用抗菌药物总例数、出院患者抗菌药物使用率（%）、出院患者特殊使用抗菌药物总例数、出院患者特殊使用抗菌药物使用率（%）等指标。</w:t>
            </w:r>
          </w:p>
        </w:tc>
      </w:tr>
      <w:tr w14:paraId="27D1E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4" w:type="dxa"/>
            <w:gridSpan w:val="3"/>
            <w:vAlign w:val="center"/>
          </w:tcPr>
          <w:p w14:paraId="10C907BA">
            <w:pPr>
              <w:widowControl/>
              <w:tabs>
                <w:tab w:val="left" w:pos="1128"/>
              </w:tabs>
              <w:textAlignment w:val="top"/>
              <w:rPr>
                <w:rStyle w:val="23"/>
                <w:rFonts w:hint="default" w:ascii="Times New Roman" w:hAnsi="Times New Roman" w:cs="Times New Roman" w:eastAsiaTheme="minorEastAsia"/>
                <w:color w:val="auto"/>
                <w:lang w:eastAsia="zh-CN" w:bidi="ar"/>
              </w:rPr>
            </w:pPr>
            <w:r>
              <w:rPr>
                <w:rStyle w:val="23"/>
                <w:rFonts w:hint="default" w:ascii="Times New Roman" w:hAnsi="Times New Roman" w:cs="Times New Roman" w:eastAsiaTheme="minorEastAsia"/>
                <w:color w:val="auto"/>
                <w:lang w:eastAsia="zh-CN" w:bidi="ar"/>
              </w:rPr>
              <w:t>二）分别对基本药物、重点监控药品、麻精药品、集采药品、国谈品种使用情况统计</w:t>
            </w:r>
          </w:p>
        </w:tc>
      </w:tr>
      <w:tr w14:paraId="18A1F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0488C4D">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1</w:t>
            </w:r>
          </w:p>
        </w:tc>
        <w:tc>
          <w:tcPr>
            <w:tcW w:w="1603" w:type="dxa"/>
            <w:vAlign w:val="center"/>
          </w:tcPr>
          <w:p w14:paraId="46FBA6E9">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上述药物使用总统计表</w:t>
            </w:r>
          </w:p>
        </w:tc>
        <w:tc>
          <w:tcPr>
            <w:tcW w:w="6976" w:type="dxa"/>
            <w:vAlign w:val="center"/>
          </w:tcPr>
          <w:p w14:paraId="64C9378B">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科室维度查看门诊/住院/全院分别统计上述各类药物的用药人次、住院总人次、上述各类药物使用总人数，计算上述各类药品使用率（%）；各类药物品种总数、全部药品品种总数、各类药物品种使用率（%）、各类药物总金额、全部药品总金额、各类药物金额总比例（%）等指标。</w:t>
            </w:r>
          </w:p>
        </w:tc>
      </w:tr>
      <w:tr w14:paraId="55D42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65982E3">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val="en-US" w:eastAsia="zh-CN"/>
              </w:rPr>
              <w:t>2</w:t>
            </w:r>
          </w:p>
        </w:tc>
        <w:tc>
          <w:tcPr>
            <w:tcW w:w="1603" w:type="dxa"/>
            <w:vAlign w:val="center"/>
          </w:tcPr>
          <w:p w14:paraId="7FD4D05F">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医院用药情况排名表</w:t>
            </w:r>
          </w:p>
        </w:tc>
        <w:tc>
          <w:tcPr>
            <w:tcW w:w="6976" w:type="dxa"/>
            <w:vAlign w:val="center"/>
          </w:tcPr>
          <w:p w14:paraId="452C48F8">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按照时间段、药物、科室、医生、药品分组等维度查看门诊/急诊/住院/全院科室/医生的各类药物药费、使用数量（换算成mg或g）等指标。</w:t>
            </w:r>
          </w:p>
        </w:tc>
      </w:tr>
      <w:tr w14:paraId="092C1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7582226">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3</w:t>
            </w:r>
          </w:p>
        </w:tc>
        <w:tc>
          <w:tcPr>
            <w:tcW w:w="1603" w:type="dxa"/>
            <w:vAlign w:val="center"/>
          </w:tcPr>
          <w:p w14:paraId="4F67DDEE">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门急诊人均用药品种数统计</w:t>
            </w:r>
          </w:p>
        </w:tc>
        <w:tc>
          <w:tcPr>
            <w:tcW w:w="6976" w:type="dxa"/>
            <w:vAlign w:val="center"/>
          </w:tcPr>
          <w:p w14:paraId="6897234F">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按照时间段、门诊、急诊维度查看各科室的上述药物品种数、就诊人次、处方张数、人均用药品种数、方均用药品种数等指标。</w:t>
            </w:r>
          </w:p>
        </w:tc>
      </w:tr>
      <w:tr w14:paraId="030C8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BE1FB0D">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4</w:t>
            </w:r>
          </w:p>
        </w:tc>
        <w:tc>
          <w:tcPr>
            <w:tcW w:w="1603" w:type="dxa"/>
            <w:vAlign w:val="center"/>
          </w:tcPr>
          <w:p w14:paraId="318CDB8B">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住院患者费用统计</w:t>
            </w:r>
          </w:p>
        </w:tc>
        <w:tc>
          <w:tcPr>
            <w:tcW w:w="6976" w:type="dxa"/>
            <w:vAlign w:val="center"/>
          </w:tcPr>
          <w:p w14:paraId="22CD66F3">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按照时间段、住院维度查看各科室的上述药物总收入、西成药收入、中药饮片收入、出院人次、次均药费（除中药饮片））等指标。</w:t>
            </w:r>
          </w:p>
        </w:tc>
      </w:tr>
      <w:tr w14:paraId="3D7B6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F50B304">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5</w:t>
            </w:r>
          </w:p>
        </w:tc>
        <w:tc>
          <w:tcPr>
            <w:tcW w:w="1603" w:type="dxa"/>
            <w:vAlign w:val="center"/>
          </w:tcPr>
          <w:p w14:paraId="6EF1E88C">
            <w:pPr>
              <w:widowControl/>
              <w:textAlignment w:val="center"/>
              <w:rPr>
                <w:rFonts w:hint="default" w:ascii="Times New Roman" w:hAnsi="Times New Roman" w:cs="Times New Roman" w:eastAsiaTheme="minorEastAsia"/>
                <w:color w:val="auto"/>
                <w:sz w:val="21"/>
                <w:szCs w:val="21"/>
              </w:rPr>
            </w:pPr>
            <w:r>
              <w:rPr>
                <w:rStyle w:val="23"/>
                <w:rFonts w:hint="default" w:ascii="Times New Roman" w:hAnsi="Times New Roman" w:cs="Times New Roman" w:eastAsiaTheme="minorEastAsia"/>
                <w:color w:val="auto"/>
                <w:lang w:eastAsia="zh-CN" w:bidi="ar"/>
              </w:rPr>
              <w:t>科室用药情况排名表</w:t>
            </w:r>
          </w:p>
        </w:tc>
        <w:tc>
          <w:tcPr>
            <w:tcW w:w="6976" w:type="dxa"/>
            <w:vAlign w:val="center"/>
          </w:tcPr>
          <w:p w14:paraId="4FBA80A5">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按照时间段、门诊、急诊、住院、西药、中成药、中药饮片等维度查看各科室排名前几名的药品使用数量、金额等指标，可设置按金额、数量排名。</w:t>
            </w:r>
          </w:p>
        </w:tc>
      </w:tr>
      <w:tr w14:paraId="3AB59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8E646FA">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6</w:t>
            </w:r>
          </w:p>
        </w:tc>
        <w:tc>
          <w:tcPr>
            <w:tcW w:w="1603" w:type="dxa"/>
            <w:vAlign w:val="center"/>
          </w:tcPr>
          <w:p w14:paraId="1886B0CA">
            <w:pPr>
              <w:widowControl/>
              <w:textAlignment w:val="center"/>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重点监控用药收入占比统计</w:t>
            </w:r>
          </w:p>
        </w:tc>
        <w:tc>
          <w:tcPr>
            <w:tcW w:w="6976" w:type="dxa"/>
            <w:vAlign w:val="center"/>
          </w:tcPr>
          <w:p w14:paraId="387DCEF0">
            <w:pPr>
              <w:widowControl/>
              <w:textAlignment w:val="top"/>
              <w:rPr>
                <w:rFonts w:hint="default" w:ascii="Times New Roman" w:hAnsi="Times New Roman" w:cs="Times New Roman" w:eastAsiaTheme="minorEastAsia"/>
                <w:color w:val="auto"/>
                <w:sz w:val="21"/>
                <w:szCs w:val="21"/>
                <w:lang w:eastAsia="zh-CN"/>
              </w:rPr>
            </w:pPr>
            <w:r>
              <w:rPr>
                <w:rStyle w:val="23"/>
                <w:rFonts w:hint="default" w:ascii="Times New Roman" w:hAnsi="Times New Roman" w:cs="Times New Roman" w:eastAsiaTheme="minorEastAsia"/>
                <w:color w:val="auto"/>
                <w:lang w:eastAsia="zh-CN" w:bidi="ar"/>
              </w:rPr>
              <w:t>按照时间段、科室维度查看各科室的重点监控药品的药占比门诊（%）、药占比住院（%）、药占比全科（%）等指标。</w:t>
            </w:r>
          </w:p>
        </w:tc>
      </w:tr>
      <w:tr w14:paraId="05E1B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4" w:type="dxa"/>
            <w:gridSpan w:val="3"/>
            <w:vAlign w:val="center"/>
          </w:tcPr>
          <w:p w14:paraId="7CAA337B">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三）静脉输液的统计（体积50ml以上的液体纳入统计）</w:t>
            </w:r>
          </w:p>
        </w:tc>
      </w:tr>
      <w:tr w14:paraId="22A85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E05F64B">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1</w:t>
            </w:r>
          </w:p>
        </w:tc>
        <w:tc>
          <w:tcPr>
            <w:tcW w:w="1603" w:type="dxa"/>
            <w:vAlign w:val="center"/>
          </w:tcPr>
          <w:p w14:paraId="64F2F682">
            <w:pPr>
              <w:widowControl/>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门急诊输液指标统计</w:t>
            </w:r>
          </w:p>
        </w:tc>
        <w:tc>
          <w:tcPr>
            <w:tcW w:w="6976" w:type="dxa"/>
            <w:vAlign w:val="center"/>
          </w:tcPr>
          <w:p w14:paraId="7FD3374A">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按照时间段、科室维度查看门急诊各科室的中药注射剂/激素的药品费用输液人次、处方张数、人均药品费用、方均药品费用等指标。</w:t>
            </w:r>
          </w:p>
        </w:tc>
      </w:tr>
      <w:tr w14:paraId="04716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DA244FD">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2</w:t>
            </w:r>
          </w:p>
        </w:tc>
        <w:tc>
          <w:tcPr>
            <w:tcW w:w="1603" w:type="dxa"/>
            <w:vAlign w:val="center"/>
          </w:tcPr>
          <w:p w14:paraId="50C66466">
            <w:pPr>
              <w:widowControl/>
              <w:textAlignment w:val="center"/>
              <w:rPr>
                <w:rStyle w:val="23"/>
                <w:rFonts w:hint="default" w:ascii="Times New Roman" w:hAnsi="Times New Roman" w:cs="Times New Roman" w:eastAsiaTheme="minorEastAsia"/>
                <w:color w:val="auto"/>
                <w:lang w:eastAsia="zh-CN" w:bidi="ar"/>
              </w:rPr>
            </w:pPr>
            <w:r>
              <w:rPr>
                <w:rFonts w:hint="default" w:ascii="Times New Roman" w:hAnsi="Times New Roman" w:cs="Times New Roman" w:eastAsiaTheme="minorEastAsia"/>
                <w:color w:val="auto"/>
                <w:sz w:val="21"/>
                <w:szCs w:val="21"/>
                <w:lang w:eastAsia="zh-CN"/>
              </w:rPr>
              <w:t>静脉输液使用率</w:t>
            </w:r>
          </w:p>
        </w:tc>
        <w:tc>
          <w:tcPr>
            <w:tcW w:w="6976" w:type="dxa"/>
            <w:vAlign w:val="center"/>
          </w:tcPr>
          <w:p w14:paraId="16D9CB5D">
            <w:pPr>
              <w:rPr>
                <w:rStyle w:val="23"/>
                <w:rFonts w:hint="default" w:ascii="Times New Roman" w:hAnsi="Times New Roman" w:cs="Times New Roman" w:eastAsiaTheme="minorEastAsia"/>
                <w:color w:val="auto"/>
                <w:lang w:eastAsia="zh-CN" w:bidi="ar"/>
              </w:rPr>
            </w:pPr>
            <w:r>
              <w:rPr>
                <w:rFonts w:hint="default" w:ascii="Times New Roman" w:hAnsi="Times New Roman" w:cs="Times New Roman" w:eastAsiaTheme="minorEastAsia"/>
                <w:color w:val="auto"/>
                <w:sz w:val="21"/>
                <w:szCs w:val="21"/>
                <w:lang w:eastAsia="zh-CN"/>
              </w:rPr>
              <w:t>按照时间段、科室维度查看门急诊/住院各科室的静脉输液使用人次、同期就诊患者总人次、患者静脉输液使用率（%）等指标。</w:t>
            </w:r>
          </w:p>
        </w:tc>
      </w:tr>
      <w:tr w14:paraId="0D7AB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315497F">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3</w:t>
            </w:r>
          </w:p>
        </w:tc>
        <w:tc>
          <w:tcPr>
            <w:tcW w:w="1603" w:type="dxa"/>
            <w:vAlign w:val="center"/>
          </w:tcPr>
          <w:p w14:paraId="4BCDB581">
            <w:pPr>
              <w:pStyle w:val="9"/>
              <w:spacing w:after="0"/>
              <w:jc w:val="left"/>
              <w:rPr>
                <w:rFonts w:hint="default" w:ascii="Times New Roman" w:hAnsi="Times New Roman" w:cs="Times New Roman" w:eastAsiaTheme="minorEastAsia"/>
                <w:color w:val="auto"/>
                <w:szCs w:val="21"/>
              </w:rPr>
            </w:pPr>
            <w:bookmarkStart w:id="0" w:name="_Toc28811"/>
            <w:bookmarkStart w:id="1" w:name="_Toc19131"/>
            <w:r>
              <w:rPr>
                <w:rFonts w:hint="default" w:ascii="Times New Roman" w:hAnsi="Times New Roman" w:cs="Times New Roman" w:eastAsiaTheme="minorEastAsia"/>
                <w:color w:val="auto"/>
                <w:szCs w:val="21"/>
              </w:rPr>
              <w:t>住院患者抗菌药物静脉输液占比</w:t>
            </w:r>
            <w:bookmarkEnd w:id="0"/>
            <w:bookmarkEnd w:id="1"/>
          </w:p>
        </w:tc>
        <w:tc>
          <w:tcPr>
            <w:tcW w:w="6976" w:type="dxa"/>
            <w:vAlign w:val="center"/>
          </w:tcPr>
          <w:p w14:paraId="14655017">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按照时间段、科室维度查看住院各科室的住院住院患者抗菌药物静脉输液总例数、住院患者静脉输液总例数、住院患者抗菌药物静脉输液占比（%）等指标。</w:t>
            </w:r>
          </w:p>
        </w:tc>
      </w:tr>
      <w:tr w14:paraId="744DC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0955F96">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4</w:t>
            </w:r>
          </w:p>
        </w:tc>
        <w:tc>
          <w:tcPr>
            <w:tcW w:w="1603" w:type="dxa"/>
            <w:vAlign w:val="center"/>
          </w:tcPr>
          <w:p w14:paraId="51FCAC50">
            <w:pPr>
              <w:pStyle w:val="9"/>
              <w:spacing w:after="0"/>
              <w:jc w:val="left"/>
              <w:rPr>
                <w:rFonts w:hint="default" w:ascii="Times New Roman" w:hAnsi="Times New Roman" w:cs="Times New Roman" w:eastAsiaTheme="minorEastAsia"/>
                <w:color w:val="auto"/>
                <w:szCs w:val="21"/>
              </w:rPr>
            </w:pPr>
            <w:r>
              <w:rPr>
                <w:rFonts w:hint="default" w:ascii="Times New Roman" w:hAnsi="Times New Roman" w:cs="Times New Roman" w:eastAsiaTheme="minorEastAsia"/>
                <w:color w:val="auto"/>
                <w:szCs w:val="21"/>
              </w:rPr>
              <w:t>抗肿瘤药物使用金额占比</w:t>
            </w:r>
          </w:p>
        </w:tc>
        <w:tc>
          <w:tcPr>
            <w:tcW w:w="6976" w:type="dxa"/>
            <w:vAlign w:val="center"/>
          </w:tcPr>
          <w:p w14:paraId="7A823D6C">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抗肿瘤药物使用金额占比= 抗肿瘤药物使用总金额 /同期药物使用总金额 ×100%</w:t>
            </w:r>
          </w:p>
        </w:tc>
      </w:tr>
      <w:tr w14:paraId="0FDD7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5ADEA49">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5</w:t>
            </w:r>
          </w:p>
        </w:tc>
        <w:tc>
          <w:tcPr>
            <w:tcW w:w="1603" w:type="dxa"/>
            <w:vAlign w:val="center"/>
          </w:tcPr>
          <w:p w14:paraId="18FC2BF6">
            <w:pPr>
              <w:pStyle w:val="9"/>
              <w:spacing w:after="0"/>
              <w:jc w:val="left"/>
              <w:rPr>
                <w:rFonts w:hint="default" w:ascii="Times New Roman" w:hAnsi="Times New Roman" w:cs="Times New Roman" w:eastAsiaTheme="minorEastAsia"/>
                <w:color w:val="auto"/>
                <w:szCs w:val="21"/>
              </w:rPr>
            </w:pPr>
            <w:r>
              <w:rPr>
                <w:rFonts w:hint="default" w:ascii="Times New Roman" w:hAnsi="Times New Roman" w:cs="Times New Roman" w:eastAsiaTheme="minorEastAsia"/>
                <w:color w:val="auto"/>
                <w:szCs w:val="21"/>
              </w:rPr>
              <w:t>限制使用级抗肿瘤药物使用金额占比</w:t>
            </w:r>
          </w:p>
        </w:tc>
        <w:tc>
          <w:tcPr>
            <w:tcW w:w="6976" w:type="dxa"/>
            <w:vAlign w:val="center"/>
          </w:tcPr>
          <w:p w14:paraId="754E0150">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限制使用级抗肿瘤药物使用金额占比= 限制使用级抗肿瘤药物使用金额/同期抗肿瘤药物使用总金额 ×100%</w:t>
            </w:r>
          </w:p>
        </w:tc>
      </w:tr>
      <w:tr w14:paraId="25E17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9F11727">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6</w:t>
            </w:r>
          </w:p>
        </w:tc>
        <w:tc>
          <w:tcPr>
            <w:tcW w:w="1603" w:type="dxa"/>
            <w:vAlign w:val="center"/>
          </w:tcPr>
          <w:p w14:paraId="7C31EF49">
            <w:pPr>
              <w:pStyle w:val="9"/>
              <w:spacing w:after="0"/>
              <w:jc w:val="left"/>
              <w:rPr>
                <w:rFonts w:hint="default" w:ascii="Times New Roman" w:hAnsi="Times New Roman" w:cs="Times New Roman" w:eastAsiaTheme="minorEastAsia"/>
                <w:color w:val="auto"/>
                <w:szCs w:val="21"/>
              </w:rPr>
            </w:pPr>
            <w:r>
              <w:rPr>
                <w:rFonts w:hint="default" w:ascii="Times New Roman" w:hAnsi="Times New Roman" w:cs="Times New Roman" w:eastAsiaTheme="minorEastAsia"/>
                <w:color w:val="auto"/>
                <w:szCs w:val="21"/>
              </w:rPr>
              <w:t>普通使用级抗肿瘤药物使用金额占比</w:t>
            </w:r>
          </w:p>
        </w:tc>
        <w:tc>
          <w:tcPr>
            <w:tcW w:w="6976" w:type="dxa"/>
            <w:vAlign w:val="center"/>
          </w:tcPr>
          <w:p w14:paraId="5B65E1C2">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普通使用级抗肿瘤药物使用金额占比= 普通使用级抗肿瘤药物使用金额/同期抗肿瘤药物使用总金额×100%</w:t>
            </w:r>
          </w:p>
        </w:tc>
      </w:tr>
      <w:tr w14:paraId="63F58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53FCCD35">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eastAsia" w:ascii="Times New Roman" w:hAnsi="Times New Roman" w:cs="Times New Roman" w:eastAsiaTheme="minorEastAsia"/>
                <w:color w:val="auto"/>
                <w:sz w:val="21"/>
                <w:szCs w:val="21"/>
                <w:lang w:val="en-US" w:eastAsia="zh-CN" w:bidi="ar-SA"/>
              </w:rPr>
              <w:t>7</w:t>
            </w:r>
          </w:p>
        </w:tc>
        <w:tc>
          <w:tcPr>
            <w:tcW w:w="1603" w:type="dxa"/>
            <w:vAlign w:val="center"/>
          </w:tcPr>
          <w:p w14:paraId="5C80ABB7">
            <w:pPr>
              <w:pStyle w:val="9"/>
              <w:spacing w:after="0"/>
              <w:jc w:val="left"/>
              <w:rPr>
                <w:rFonts w:hint="default" w:ascii="Times New Roman" w:hAnsi="Times New Roman" w:cs="Times New Roman" w:eastAsiaTheme="minorEastAsia"/>
                <w:color w:val="auto"/>
                <w:szCs w:val="21"/>
              </w:rPr>
            </w:pPr>
            <w:bookmarkStart w:id="2" w:name="_Toc236"/>
            <w:bookmarkStart w:id="3" w:name="_Toc23436"/>
            <w:r>
              <w:rPr>
                <w:rFonts w:hint="default" w:ascii="Times New Roman" w:hAnsi="Times New Roman" w:cs="Times New Roman" w:eastAsiaTheme="minorEastAsia"/>
                <w:color w:val="auto"/>
                <w:szCs w:val="21"/>
              </w:rPr>
              <w:t>限制使用级抗肿瘤药物使用率</w:t>
            </w:r>
            <w:bookmarkEnd w:id="2"/>
            <w:bookmarkEnd w:id="3"/>
          </w:p>
        </w:tc>
        <w:tc>
          <w:tcPr>
            <w:tcW w:w="6976" w:type="dxa"/>
            <w:vAlign w:val="center"/>
          </w:tcPr>
          <w:p w14:paraId="1BEDCA75">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门诊患者限制使用级抗肿瘤药物使用率= 门诊患者限制使用级抗肿瘤药物处方数/同期门诊患者抗肿瘤药物处方总数 ×100% ；</w:t>
            </w:r>
          </w:p>
          <w:p w14:paraId="3AE42100">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住院患者限制使用级抗肿瘤药物使用率= 住院患者限制使用级抗肿瘤药物医嘱条目数/同期住院患者抗肿瘤药物医嘱条目总数 ×100%。</w:t>
            </w:r>
          </w:p>
        </w:tc>
      </w:tr>
      <w:tr w14:paraId="29642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36FA261">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8</w:t>
            </w:r>
          </w:p>
        </w:tc>
        <w:tc>
          <w:tcPr>
            <w:tcW w:w="1603" w:type="dxa"/>
            <w:vAlign w:val="center"/>
          </w:tcPr>
          <w:p w14:paraId="1EF4851D">
            <w:pPr>
              <w:pStyle w:val="9"/>
              <w:spacing w:after="0"/>
              <w:jc w:val="left"/>
              <w:rPr>
                <w:rFonts w:hint="default" w:ascii="Times New Roman" w:hAnsi="Times New Roman" w:cs="Times New Roman" w:eastAsiaTheme="minorEastAsia"/>
                <w:color w:val="auto"/>
                <w:szCs w:val="21"/>
              </w:rPr>
            </w:pPr>
            <w:bookmarkStart w:id="4" w:name="_Toc22910"/>
            <w:bookmarkStart w:id="5" w:name="_Toc1592"/>
            <w:r>
              <w:rPr>
                <w:rFonts w:hint="default" w:ascii="Times New Roman" w:hAnsi="Times New Roman" w:cs="Times New Roman" w:eastAsiaTheme="minorEastAsia"/>
                <w:color w:val="auto"/>
                <w:szCs w:val="21"/>
              </w:rPr>
              <w:t>普通使用级抗肿瘤药物使用率</w:t>
            </w:r>
            <w:bookmarkEnd w:id="4"/>
            <w:bookmarkEnd w:id="5"/>
          </w:p>
        </w:tc>
        <w:tc>
          <w:tcPr>
            <w:tcW w:w="6976" w:type="dxa"/>
            <w:vAlign w:val="center"/>
          </w:tcPr>
          <w:p w14:paraId="246B8221">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门诊患者普通使用级抗肿瘤药物使用率= 门诊患者普通使用级抗肿瘤药物处方数/ 同期门诊患者抗肿瘤药物处方总数 ×100% ；</w:t>
            </w:r>
          </w:p>
          <w:p w14:paraId="2ED9509E">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住院患者普通使用级抗肿瘤药物使用率= 住院患者普通使用级抗肿瘤药物医嘱条目数 /同期住院患者抗肿瘤药物医嘱条目总数 ×100%。</w:t>
            </w:r>
          </w:p>
        </w:tc>
      </w:tr>
      <w:tr w14:paraId="06469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BA52F11">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eastAsiaTheme="minorEastAsia"/>
                <w:color w:val="auto"/>
                <w:sz w:val="21"/>
                <w:szCs w:val="21"/>
                <w:lang w:val="en-US" w:eastAsia="zh-CN"/>
              </w:rPr>
              <w:t>9</w:t>
            </w:r>
          </w:p>
        </w:tc>
        <w:tc>
          <w:tcPr>
            <w:tcW w:w="1603" w:type="dxa"/>
            <w:vAlign w:val="center"/>
          </w:tcPr>
          <w:p w14:paraId="0FA7F3B3">
            <w:pPr>
              <w:pStyle w:val="9"/>
              <w:spacing w:after="0"/>
              <w:jc w:val="left"/>
              <w:rPr>
                <w:rFonts w:hint="default" w:ascii="Times New Roman" w:hAnsi="Times New Roman" w:cs="Times New Roman" w:eastAsiaTheme="minorEastAsia"/>
                <w:color w:val="auto"/>
                <w:szCs w:val="21"/>
              </w:rPr>
            </w:pPr>
            <w:bookmarkStart w:id="6" w:name="_Toc18774"/>
            <w:r>
              <w:rPr>
                <w:rStyle w:val="23"/>
                <w:rFonts w:hint="default" w:ascii="Times New Roman" w:hAnsi="Times New Roman" w:cs="Times New Roman" w:eastAsiaTheme="minorEastAsia"/>
                <w:color w:val="auto"/>
                <w:lang w:bidi="ar"/>
              </w:rPr>
              <w:t>三级公立医院绩效指标</w:t>
            </w:r>
            <w:bookmarkEnd w:id="6"/>
          </w:p>
        </w:tc>
        <w:tc>
          <w:tcPr>
            <w:tcW w:w="6976" w:type="dxa"/>
            <w:vAlign w:val="center"/>
          </w:tcPr>
          <w:p w14:paraId="04925FAC">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必须支持三级公立医院绩效指标统计，</w:t>
            </w:r>
            <w:r>
              <w:rPr>
                <w:rFonts w:hint="default" w:ascii="Times New Roman" w:hAnsi="Times New Roman" w:eastAsia="宋体" w:cs="Times New Roman"/>
                <w:color w:val="auto"/>
                <w:lang w:eastAsia="zh-CN"/>
              </w:rPr>
              <w:t>且按照政策调整。</w:t>
            </w:r>
          </w:p>
          <w:p w14:paraId="63B5C28B">
            <w:pPr>
              <w:rPr>
                <w:rFonts w:hint="default" w:ascii="Times New Roman" w:hAnsi="Times New Roman" w:cs="Times New Roman" w:eastAsiaTheme="minorEastAsia"/>
                <w:color w:val="auto"/>
                <w:sz w:val="21"/>
                <w:szCs w:val="21"/>
                <w:lang w:eastAsia="zh-CN"/>
              </w:rPr>
            </w:pPr>
          </w:p>
        </w:tc>
      </w:tr>
      <w:tr w14:paraId="20527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4" w:type="dxa"/>
            <w:gridSpan w:val="3"/>
            <w:vAlign w:val="center"/>
          </w:tcPr>
          <w:p w14:paraId="3B856ED3">
            <w:pPr>
              <w:rPr>
                <w:rStyle w:val="23"/>
                <w:rFonts w:hint="default" w:ascii="Times New Roman" w:hAnsi="Times New Roman" w:cs="Times New Roman" w:eastAsiaTheme="minorEastAsia"/>
                <w:b/>
                <w:bCs/>
                <w:color w:val="auto"/>
                <w:lang w:eastAsia="zh-CN" w:bidi="ar"/>
              </w:rPr>
            </w:pPr>
            <w:r>
              <w:rPr>
                <w:rFonts w:hint="default" w:ascii="Times New Roman" w:hAnsi="Times New Roman" w:cs="Times New Roman" w:eastAsiaTheme="minorEastAsia"/>
                <w:b/>
                <w:color w:val="auto"/>
                <w:sz w:val="24"/>
                <w:szCs w:val="24"/>
                <w:lang w:eastAsia="zh-CN"/>
              </w:rPr>
              <w:t>（六）临床药学服务功能模块</w:t>
            </w:r>
          </w:p>
        </w:tc>
      </w:tr>
      <w:tr w14:paraId="2F4BB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302A002">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1</w:t>
            </w:r>
          </w:p>
        </w:tc>
        <w:tc>
          <w:tcPr>
            <w:tcW w:w="1603" w:type="dxa"/>
            <w:vAlign w:val="center"/>
          </w:tcPr>
          <w:p w14:paraId="5EF9D92F">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药学门诊</w:t>
            </w:r>
          </w:p>
        </w:tc>
        <w:tc>
          <w:tcPr>
            <w:tcW w:w="6976" w:type="dxa"/>
            <w:vAlign w:val="center"/>
          </w:tcPr>
          <w:p w14:paraId="51A22F03">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药师在门诊为患者提供的用药评估、用药咨询、用药教育、用药方案调整等药学服务。</w:t>
            </w:r>
          </w:p>
        </w:tc>
      </w:tr>
      <w:tr w14:paraId="1DF28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2F3067A">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val="en-US" w:eastAsia="zh-CN"/>
              </w:rPr>
              <w:t>2</w:t>
            </w:r>
          </w:p>
        </w:tc>
        <w:tc>
          <w:tcPr>
            <w:tcW w:w="1603" w:type="dxa"/>
            <w:vAlign w:val="center"/>
          </w:tcPr>
          <w:p w14:paraId="3AAC310D">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药物重整</w:t>
            </w:r>
          </w:p>
        </w:tc>
        <w:tc>
          <w:tcPr>
            <w:tcW w:w="6976" w:type="dxa"/>
            <w:vAlign w:val="center"/>
          </w:tcPr>
          <w:p w14:paraId="3441AF05">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师在住院患者入院、转科或出院等重要环节，通过与患者沟通、查看相关资料等方式，了解患者用药情况，比较目前正在使用的所有药物与用药医嘱是否合理一致，给出用药方案调整建议，并与医疗团队共同对不适宜用药进行调整的过程。</w:t>
            </w:r>
          </w:p>
        </w:tc>
      </w:tr>
      <w:tr w14:paraId="084D5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901D3E9">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3</w:t>
            </w:r>
          </w:p>
        </w:tc>
        <w:tc>
          <w:tcPr>
            <w:tcW w:w="1603" w:type="dxa"/>
            <w:vAlign w:val="center"/>
          </w:tcPr>
          <w:p w14:paraId="699D6420">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用药教育</w:t>
            </w:r>
          </w:p>
        </w:tc>
        <w:tc>
          <w:tcPr>
            <w:tcW w:w="6976" w:type="dxa"/>
            <w:vAlign w:val="center"/>
          </w:tcPr>
          <w:p w14:paraId="06A60005">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药师对患者提供合理用药指导、普及合理用药知识等药学服务的过程，以提高患者用药知识水平，提高用药依从性，降低用药错误发生率，保障医疗质量和医疗安全。</w:t>
            </w:r>
          </w:p>
        </w:tc>
      </w:tr>
      <w:tr w14:paraId="1F08D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05239D97">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4</w:t>
            </w:r>
          </w:p>
        </w:tc>
        <w:tc>
          <w:tcPr>
            <w:tcW w:w="1603" w:type="dxa"/>
            <w:vAlign w:val="center"/>
          </w:tcPr>
          <w:p w14:paraId="24855B14">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药学监护</w:t>
            </w:r>
          </w:p>
        </w:tc>
        <w:tc>
          <w:tcPr>
            <w:tcW w:w="6976" w:type="dxa"/>
            <w:vAlign w:val="center"/>
          </w:tcPr>
          <w:p w14:paraId="792A98D7">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药师应用药学专业知识为住院患者提供直接的、与药物使用相关的药学服务，以提高药物治疗的安全性、有效性与经济性。</w:t>
            </w:r>
          </w:p>
        </w:tc>
      </w:tr>
      <w:tr w14:paraId="4A938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434D383">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5</w:t>
            </w:r>
          </w:p>
        </w:tc>
        <w:tc>
          <w:tcPr>
            <w:tcW w:w="1603" w:type="dxa"/>
            <w:vAlign w:val="center"/>
          </w:tcPr>
          <w:p w14:paraId="7EE1E181">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居家药学服务</w:t>
            </w:r>
          </w:p>
        </w:tc>
        <w:tc>
          <w:tcPr>
            <w:tcW w:w="6976" w:type="dxa"/>
            <w:vAlign w:val="center"/>
          </w:tcPr>
          <w:p w14:paraId="02767CF5">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药师为居家药物治疗患者上门提供普及健康知识，开展用药评估和用药教育，指导贮存和使用药品，进行家庭药箱管理，提高患者用药依从性等个体化、全程、连续的药学服务。</w:t>
            </w:r>
          </w:p>
        </w:tc>
      </w:tr>
      <w:tr w14:paraId="14672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B007576">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6</w:t>
            </w:r>
          </w:p>
        </w:tc>
        <w:tc>
          <w:tcPr>
            <w:tcW w:w="1603" w:type="dxa"/>
            <w:vAlign w:val="center"/>
          </w:tcPr>
          <w:p w14:paraId="306ABD50">
            <w:pPr>
              <w:rPr>
                <w:rFonts w:hint="default" w:ascii="Times New Roman" w:hAnsi="Times New Roman" w:cs="Times New Roman" w:eastAsiaTheme="minorEastAsia"/>
                <w:color w:val="auto"/>
                <w:sz w:val="21"/>
                <w:szCs w:val="21"/>
                <w:lang w:eastAsia="zh-Hans"/>
              </w:rPr>
            </w:pPr>
            <w:r>
              <w:rPr>
                <w:rFonts w:hint="default" w:ascii="Times New Roman" w:hAnsi="Times New Roman" w:cs="Times New Roman" w:eastAsiaTheme="minorEastAsia"/>
                <w:color w:val="auto"/>
                <w:sz w:val="21"/>
                <w:szCs w:val="21"/>
                <w:lang w:eastAsia="zh-Hans"/>
              </w:rPr>
              <w:t>药物不良反应监测</w:t>
            </w:r>
          </w:p>
        </w:tc>
        <w:tc>
          <w:tcPr>
            <w:tcW w:w="6976" w:type="dxa"/>
            <w:vAlign w:val="center"/>
          </w:tcPr>
          <w:p w14:paraId="257D68CF">
            <w:pPr>
              <w:rPr>
                <w:rFonts w:hint="default" w:ascii="Times New Roman" w:hAnsi="Times New Roman" w:cs="Times New Roman" w:eastAsiaTheme="minorEastAsia"/>
                <w:color w:val="auto"/>
                <w:sz w:val="21"/>
                <w:szCs w:val="21"/>
                <w:lang w:eastAsia="zh-Hans"/>
              </w:rPr>
            </w:pPr>
            <w:r>
              <w:rPr>
                <w:rFonts w:hint="default" w:ascii="Times New Roman" w:hAnsi="Times New Roman" w:cs="Times New Roman" w:eastAsiaTheme="minorEastAsia"/>
                <w:color w:val="auto"/>
                <w:sz w:val="21"/>
                <w:szCs w:val="21"/>
                <w:lang w:eastAsia="zh-CN"/>
              </w:rPr>
              <w:t>系统能自动根据患者检验结果、病程关键字、使用药品监测到可疑药物不良事件，监测后形成监测列表，药师可对可疑患者进行审核。</w:t>
            </w:r>
          </w:p>
        </w:tc>
      </w:tr>
      <w:tr w14:paraId="75292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4" w:type="dxa"/>
            <w:gridSpan w:val="3"/>
            <w:vAlign w:val="center"/>
          </w:tcPr>
          <w:p w14:paraId="4AA4D173">
            <w:pPr>
              <w:rPr>
                <w:rFonts w:hint="default" w:ascii="Times New Roman" w:hAnsi="Times New Roman" w:cs="Times New Roman" w:eastAsiaTheme="minorEastAsia"/>
                <w:color w:val="auto"/>
                <w:sz w:val="21"/>
                <w:szCs w:val="21"/>
                <w:lang w:eastAsia="zh-CN"/>
              </w:rPr>
            </w:pPr>
            <w:r>
              <w:rPr>
                <w:rFonts w:hint="eastAsia" w:ascii="Times New Roman" w:hAnsi="Times New Roman" w:cs="Times New Roman" w:eastAsiaTheme="minorEastAsia"/>
                <w:b/>
                <w:color w:val="auto"/>
                <w:sz w:val="24"/>
                <w:szCs w:val="24"/>
                <w:lang w:eastAsia="zh-CN"/>
              </w:rPr>
              <w:t>（</w:t>
            </w:r>
            <w:r>
              <w:rPr>
                <w:rFonts w:hint="eastAsia" w:ascii="Times New Roman" w:hAnsi="Times New Roman" w:cs="Times New Roman" w:eastAsiaTheme="minorEastAsia"/>
                <w:b/>
                <w:color w:val="auto"/>
                <w:sz w:val="24"/>
                <w:szCs w:val="24"/>
                <w:lang w:val="en-US" w:eastAsia="zh-CN"/>
              </w:rPr>
              <w:t>七</w:t>
            </w:r>
            <w:r>
              <w:rPr>
                <w:rFonts w:hint="eastAsia" w:ascii="Times New Roman" w:hAnsi="Times New Roman" w:cs="Times New Roman" w:eastAsiaTheme="minorEastAsia"/>
                <w:b/>
                <w:color w:val="auto"/>
                <w:sz w:val="24"/>
                <w:szCs w:val="24"/>
                <w:lang w:eastAsia="zh-CN"/>
              </w:rPr>
              <w:t>）</w:t>
            </w:r>
            <w:r>
              <w:rPr>
                <w:rFonts w:hint="default" w:ascii="Times New Roman" w:hAnsi="Times New Roman" w:cs="Times New Roman" w:eastAsiaTheme="minorEastAsia"/>
                <w:b/>
                <w:color w:val="auto"/>
                <w:sz w:val="24"/>
                <w:szCs w:val="24"/>
                <w:lang w:eastAsia="zh-CN"/>
              </w:rPr>
              <w:t>药品使用监测分析功能模块</w:t>
            </w:r>
          </w:p>
        </w:tc>
      </w:tr>
      <w:tr w14:paraId="7B4A5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685" w:type="dxa"/>
            <w:vAlign w:val="center"/>
          </w:tcPr>
          <w:p w14:paraId="3658F4CD">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1</w:t>
            </w:r>
          </w:p>
        </w:tc>
        <w:tc>
          <w:tcPr>
            <w:tcW w:w="1603" w:type="dxa"/>
            <w:vAlign w:val="center"/>
          </w:tcPr>
          <w:p w14:paraId="2C19D416">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药品使用监测分析</w:t>
            </w:r>
          </w:p>
        </w:tc>
        <w:tc>
          <w:tcPr>
            <w:tcW w:w="6976" w:type="dxa"/>
            <w:vAlign w:val="center"/>
          </w:tcPr>
          <w:p w14:paraId="5DF20932">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区域药品配备情况分析、基药配备情况、儿童用药/集采药品/抗肿瘤药使用情况 </w:t>
            </w:r>
          </w:p>
        </w:tc>
      </w:tr>
      <w:tr w14:paraId="23E50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85" w:type="dxa"/>
            <w:vAlign w:val="center"/>
          </w:tcPr>
          <w:p w14:paraId="105A0887">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val="en-US" w:eastAsia="zh-CN"/>
              </w:rPr>
              <w:t>2</w:t>
            </w:r>
          </w:p>
        </w:tc>
        <w:tc>
          <w:tcPr>
            <w:tcW w:w="1603" w:type="dxa"/>
            <w:vAlign w:val="center"/>
          </w:tcPr>
          <w:p w14:paraId="31807D71">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合理用药分析</w:t>
            </w:r>
          </w:p>
        </w:tc>
        <w:tc>
          <w:tcPr>
            <w:tcW w:w="6976" w:type="dxa"/>
            <w:vAlign w:val="center"/>
          </w:tcPr>
          <w:p w14:paraId="75685DCF">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合理用药总体分析、抗生素药物合理使用、集采用药/重点监测用药/抗肿瘤用药/儿童用药/精神麻醉用药合理使用、国家基药合理使用分析结果 </w:t>
            </w:r>
          </w:p>
        </w:tc>
      </w:tr>
      <w:tr w14:paraId="26762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8433DDF">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3</w:t>
            </w:r>
          </w:p>
        </w:tc>
        <w:tc>
          <w:tcPr>
            <w:tcW w:w="1603" w:type="dxa"/>
            <w:vAlign w:val="center"/>
          </w:tcPr>
          <w:p w14:paraId="1C93BD04">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全部药品配备情况</w:t>
            </w:r>
          </w:p>
        </w:tc>
        <w:tc>
          <w:tcPr>
            <w:tcW w:w="6976" w:type="dxa"/>
            <w:vAlign w:val="center"/>
          </w:tcPr>
          <w:p w14:paraId="01C23FB4">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品种品规变化分析、药品使用/费用趋势分析、药品生产企业情况</w:t>
            </w:r>
          </w:p>
        </w:tc>
      </w:tr>
      <w:tr w14:paraId="6707D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18AFEBA">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4</w:t>
            </w:r>
          </w:p>
        </w:tc>
        <w:tc>
          <w:tcPr>
            <w:tcW w:w="1603" w:type="dxa"/>
            <w:vAlign w:val="center"/>
          </w:tcPr>
          <w:p w14:paraId="74F490E7">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药品使用监测大屏</w:t>
            </w:r>
          </w:p>
        </w:tc>
        <w:tc>
          <w:tcPr>
            <w:tcW w:w="6976" w:type="dxa"/>
            <w:vAlign w:val="center"/>
          </w:tcPr>
          <w:p w14:paraId="40CA8150">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数据可视化大屏展示</w:t>
            </w:r>
          </w:p>
        </w:tc>
      </w:tr>
      <w:tr w14:paraId="20F87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39E4260F">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5</w:t>
            </w:r>
          </w:p>
        </w:tc>
        <w:tc>
          <w:tcPr>
            <w:tcW w:w="1603" w:type="dxa"/>
            <w:vAlign w:val="center"/>
          </w:tcPr>
          <w:p w14:paraId="7EBCD389">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药品供应保障监测分析</w:t>
            </w:r>
          </w:p>
        </w:tc>
        <w:tc>
          <w:tcPr>
            <w:tcW w:w="6976" w:type="dxa"/>
            <w:vAlign w:val="center"/>
          </w:tcPr>
          <w:p w14:paraId="0E0EADF9">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进销存监测、短缺/使用超限预警分析 </w:t>
            </w:r>
          </w:p>
        </w:tc>
      </w:tr>
      <w:tr w14:paraId="57FF6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C8708FD">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6</w:t>
            </w:r>
          </w:p>
        </w:tc>
        <w:tc>
          <w:tcPr>
            <w:tcW w:w="1603" w:type="dxa"/>
            <w:vAlign w:val="center"/>
          </w:tcPr>
          <w:p w14:paraId="64808DF2">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医疗机构药品目录维护</w:t>
            </w:r>
          </w:p>
        </w:tc>
        <w:tc>
          <w:tcPr>
            <w:tcW w:w="6976" w:type="dxa"/>
            <w:vAlign w:val="center"/>
          </w:tcPr>
          <w:p w14:paraId="782AFF77">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目录管理</w:t>
            </w:r>
          </w:p>
        </w:tc>
      </w:tr>
      <w:tr w14:paraId="155F4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9264" w:type="dxa"/>
            <w:gridSpan w:val="3"/>
            <w:vAlign w:val="center"/>
          </w:tcPr>
          <w:p w14:paraId="01384E57">
            <w:pPr>
              <w:rPr>
                <w:rFonts w:hint="default" w:ascii="Times New Roman" w:hAnsi="Times New Roman" w:cs="Times New Roman" w:eastAsiaTheme="minorEastAsia"/>
                <w:b/>
                <w:color w:val="auto"/>
                <w:sz w:val="24"/>
                <w:szCs w:val="24"/>
                <w:lang w:eastAsia="zh-CN"/>
              </w:rPr>
            </w:pPr>
            <w:r>
              <w:rPr>
                <w:rFonts w:hint="default" w:ascii="Times New Roman" w:hAnsi="Times New Roman" w:cs="Times New Roman" w:eastAsiaTheme="minorEastAsia"/>
                <w:b/>
                <w:color w:val="auto"/>
                <w:sz w:val="24"/>
                <w:szCs w:val="24"/>
                <w:lang w:eastAsia="zh-CN"/>
              </w:rPr>
              <w:t>（</w:t>
            </w:r>
            <w:r>
              <w:rPr>
                <w:rFonts w:hint="eastAsia" w:ascii="Times New Roman" w:hAnsi="Times New Roman" w:cs="Times New Roman" w:eastAsiaTheme="minorEastAsia"/>
                <w:b/>
                <w:color w:val="auto"/>
                <w:sz w:val="24"/>
                <w:szCs w:val="24"/>
                <w:lang w:val="en-US" w:eastAsia="zh-CN"/>
              </w:rPr>
              <w:t>八</w:t>
            </w:r>
            <w:r>
              <w:rPr>
                <w:rFonts w:hint="default" w:ascii="Times New Roman" w:hAnsi="Times New Roman" w:cs="Times New Roman" w:eastAsiaTheme="minorEastAsia"/>
                <w:b/>
                <w:color w:val="auto"/>
                <w:sz w:val="24"/>
                <w:szCs w:val="24"/>
                <w:lang w:eastAsia="zh-CN"/>
              </w:rPr>
              <w:t>）国家药事管理质控指标数据监管功能模块。</w:t>
            </w:r>
          </w:p>
          <w:p w14:paraId="18015B58">
            <w:pPr>
              <w:rPr>
                <w:rFonts w:hint="default" w:ascii="Times New Roman" w:hAnsi="Times New Roman" w:eastAsia="微软雅黑" w:cs="Times New Roman"/>
                <w:b/>
                <w:color w:val="auto"/>
                <w:sz w:val="24"/>
                <w:szCs w:val="24"/>
                <w:lang w:eastAsia="zh-CN"/>
              </w:rPr>
            </w:pPr>
            <w:r>
              <w:rPr>
                <w:rFonts w:hint="default" w:ascii="Times New Roman" w:hAnsi="Times New Roman" w:cs="Times New Roman" w:eastAsiaTheme="minorEastAsia"/>
                <w:color w:val="auto"/>
                <w:sz w:val="21"/>
                <w:szCs w:val="21"/>
                <w:lang w:eastAsia="zh-CN"/>
              </w:rPr>
              <w:t>功能要求：</w:t>
            </w:r>
            <w:r>
              <w:rPr>
                <w:rFonts w:hint="default" w:ascii="Times New Roman" w:hAnsi="Times New Roman" w:cs="Times New Roman" w:eastAsiaTheme="minorEastAsia"/>
                <w:bCs/>
                <w:color w:val="auto"/>
                <w:sz w:val="21"/>
                <w:szCs w:val="21"/>
                <w:lang w:eastAsia="zh-CN"/>
              </w:rPr>
              <w:t>可以按国家《药事管理专业医疗质量控制指标（2025年版）》指标要求进行相关指标的计算和统计，并与湖南省临床用药质量控制中心上报数据网络联接，由省临床用药质量控制中心专家对全省上报数据进行统计。</w:t>
            </w:r>
          </w:p>
        </w:tc>
      </w:tr>
      <w:tr w14:paraId="36745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1BEDA06">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1</w:t>
            </w:r>
          </w:p>
        </w:tc>
        <w:tc>
          <w:tcPr>
            <w:tcW w:w="1603" w:type="dxa"/>
            <w:vAlign w:val="center"/>
          </w:tcPr>
          <w:p w14:paraId="526C571D">
            <w:pPr>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Cs/>
                <w:color w:val="auto"/>
                <w:sz w:val="21"/>
                <w:szCs w:val="21"/>
              </w:rPr>
              <w:t>指标</w:t>
            </w:r>
            <w:r>
              <w:rPr>
                <w:rFonts w:hint="default" w:ascii="Times New Roman" w:hAnsi="Times New Roman" w:cs="Times New Roman" w:eastAsiaTheme="minorEastAsia"/>
                <w:bCs/>
                <w:color w:val="auto"/>
                <w:sz w:val="21"/>
                <w:szCs w:val="21"/>
                <w:lang w:eastAsia="zh-CN"/>
              </w:rPr>
              <w:t>监控公示</w:t>
            </w:r>
          </w:p>
        </w:tc>
        <w:tc>
          <w:tcPr>
            <w:tcW w:w="6976" w:type="dxa"/>
            <w:vAlign w:val="center"/>
          </w:tcPr>
          <w:p w14:paraId="3A284FAC">
            <w:pPr>
              <w:rPr>
                <w:rFonts w:hint="default" w:ascii="Times New Roman" w:hAnsi="Times New Roman" w:cs="Times New Roman" w:eastAsiaTheme="minorEastAsia"/>
                <w:bCs/>
                <w:color w:val="auto"/>
                <w:sz w:val="21"/>
                <w:szCs w:val="21"/>
                <w:lang w:eastAsia="zh-CN"/>
              </w:rPr>
            </w:pPr>
            <w:r>
              <w:rPr>
                <w:rFonts w:hint="default" w:ascii="Times New Roman" w:hAnsi="Times New Roman" w:cs="Times New Roman" w:eastAsiaTheme="minorEastAsia"/>
                <w:bCs/>
                <w:color w:val="auto"/>
                <w:sz w:val="21"/>
                <w:szCs w:val="21"/>
                <w:lang w:eastAsia="zh-CN"/>
              </w:rPr>
              <w:t>1.全省（区、县）牵头单位及基层医疗机构不合理用药问题汇总；</w:t>
            </w:r>
          </w:p>
          <w:p w14:paraId="4307F86F">
            <w:pPr>
              <w:rPr>
                <w:rFonts w:hint="default" w:ascii="Times New Roman" w:hAnsi="Times New Roman" w:cs="Times New Roman" w:eastAsiaTheme="minorEastAsia"/>
                <w:bCs/>
                <w:color w:val="auto"/>
                <w:sz w:val="21"/>
                <w:szCs w:val="21"/>
                <w:lang w:eastAsia="zh-CN"/>
              </w:rPr>
            </w:pPr>
            <w:r>
              <w:rPr>
                <w:rFonts w:hint="default" w:ascii="Times New Roman" w:hAnsi="Times New Roman" w:cs="Times New Roman" w:eastAsiaTheme="minorEastAsia"/>
                <w:bCs/>
                <w:color w:val="auto"/>
                <w:sz w:val="21"/>
                <w:szCs w:val="21"/>
                <w:lang w:eastAsia="zh-CN"/>
              </w:rPr>
              <w:t>2.全省（区、县）牵头单位药师处方审核统计情况；</w:t>
            </w:r>
          </w:p>
          <w:p w14:paraId="6A808A70">
            <w:pPr>
              <w:rPr>
                <w:rFonts w:hint="default" w:ascii="Times New Roman" w:hAnsi="Times New Roman" w:cs="Times New Roman" w:eastAsiaTheme="minorEastAsia"/>
                <w:bCs/>
                <w:color w:val="auto"/>
                <w:sz w:val="21"/>
                <w:szCs w:val="21"/>
                <w:lang w:eastAsia="zh-CN"/>
              </w:rPr>
            </w:pPr>
            <w:r>
              <w:rPr>
                <w:rFonts w:hint="default" w:ascii="Times New Roman" w:hAnsi="Times New Roman" w:cs="Times New Roman" w:eastAsiaTheme="minorEastAsia"/>
                <w:bCs/>
                <w:color w:val="auto"/>
                <w:sz w:val="21"/>
                <w:szCs w:val="21"/>
                <w:lang w:eastAsia="zh-CN"/>
              </w:rPr>
              <w:t>3.重点监控药品、集采药品、国谈品种、麻精药品等问题监管；</w:t>
            </w:r>
          </w:p>
          <w:p w14:paraId="512EA42F">
            <w:pPr>
              <w:rPr>
                <w:rFonts w:hint="default" w:ascii="Times New Roman" w:hAnsi="Times New Roman" w:cs="Times New Roman" w:eastAsiaTheme="minorEastAsia"/>
                <w:b/>
                <w:bCs/>
                <w:color w:val="auto"/>
                <w:sz w:val="21"/>
                <w:szCs w:val="21"/>
                <w:lang w:eastAsia="zh-CN"/>
              </w:rPr>
            </w:pPr>
            <w:r>
              <w:rPr>
                <w:rFonts w:hint="default" w:ascii="Times New Roman" w:hAnsi="Times New Roman" w:cs="Times New Roman" w:eastAsiaTheme="minorEastAsia"/>
                <w:bCs/>
                <w:color w:val="auto"/>
                <w:sz w:val="21"/>
                <w:szCs w:val="21"/>
                <w:lang w:eastAsia="zh-CN"/>
              </w:rPr>
              <w:t>4.区域内处方点评情况；</w:t>
            </w:r>
          </w:p>
        </w:tc>
      </w:tr>
      <w:tr w14:paraId="3A177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100ADD8">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val="en-US" w:eastAsia="zh-CN"/>
              </w:rPr>
              <w:t>2</w:t>
            </w:r>
          </w:p>
        </w:tc>
        <w:tc>
          <w:tcPr>
            <w:tcW w:w="1603" w:type="dxa"/>
            <w:vAlign w:val="center"/>
          </w:tcPr>
          <w:p w14:paraId="220328D0">
            <w:pPr>
              <w:rPr>
                <w:rFonts w:hint="default" w:ascii="Times New Roman" w:hAnsi="Times New Roman" w:cs="Times New Roman" w:eastAsiaTheme="minorEastAsia"/>
                <w:b/>
                <w:bCs/>
                <w:color w:val="auto"/>
                <w:sz w:val="21"/>
                <w:szCs w:val="21"/>
              </w:rPr>
            </w:pPr>
            <w:r>
              <w:rPr>
                <w:rFonts w:hint="default" w:ascii="Times New Roman" w:hAnsi="Times New Roman" w:cs="Times New Roman" w:eastAsiaTheme="minorEastAsia"/>
                <w:bCs/>
                <w:color w:val="auto"/>
                <w:sz w:val="21"/>
                <w:szCs w:val="21"/>
                <w:lang w:eastAsia="zh-CN"/>
              </w:rPr>
              <w:t>用药数据展示大屏</w:t>
            </w:r>
          </w:p>
        </w:tc>
        <w:tc>
          <w:tcPr>
            <w:tcW w:w="6976" w:type="dxa"/>
            <w:vAlign w:val="center"/>
          </w:tcPr>
          <w:p w14:paraId="5535C0E8">
            <w:pPr>
              <w:rPr>
                <w:rFonts w:hint="default" w:ascii="Times New Roman" w:hAnsi="Times New Roman" w:cs="Times New Roman" w:eastAsiaTheme="minorEastAsia"/>
                <w:bCs/>
                <w:color w:val="auto"/>
                <w:sz w:val="21"/>
                <w:szCs w:val="21"/>
                <w:lang w:eastAsia="zh-CN"/>
              </w:rPr>
            </w:pPr>
            <w:r>
              <w:rPr>
                <w:rFonts w:hint="default" w:ascii="Times New Roman" w:hAnsi="Times New Roman" w:cs="Times New Roman" w:eastAsiaTheme="minorEastAsia"/>
                <w:bCs/>
                <w:color w:val="auto"/>
                <w:sz w:val="21"/>
                <w:szCs w:val="21"/>
                <w:lang w:eastAsia="zh-CN"/>
              </w:rPr>
              <w:t>1.支持大屏名称自定义、大屏背景可选；</w:t>
            </w:r>
          </w:p>
          <w:p w14:paraId="7762A70B">
            <w:pPr>
              <w:rPr>
                <w:rFonts w:hint="default" w:ascii="Times New Roman" w:hAnsi="Times New Roman" w:cs="Times New Roman" w:eastAsiaTheme="minorEastAsia"/>
                <w:bCs/>
                <w:color w:val="auto"/>
                <w:sz w:val="21"/>
                <w:szCs w:val="21"/>
                <w:lang w:eastAsia="zh-CN"/>
              </w:rPr>
            </w:pPr>
            <w:r>
              <w:rPr>
                <w:rFonts w:hint="default" w:ascii="Times New Roman" w:hAnsi="Times New Roman" w:cs="Times New Roman" w:eastAsiaTheme="minorEastAsia"/>
                <w:bCs/>
                <w:color w:val="auto"/>
                <w:sz w:val="21"/>
                <w:szCs w:val="21"/>
                <w:lang w:eastAsia="zh-CN"/>
              </w:rPr>
              <w:t>2.支持战略地图、九方图双维驾驶舱等模式；</w:t>
            </w:r>
          </w:p>
          <w:p w14:paraId="20226DA8">
            <w:pPr>
              <w:rPr>
                <w:rFonts w:hint="default" w:ascii="Times New Roman" w:hAnsi="Times New Roman" w:cs="Times New Roman" w:eastAsiaTheme="minorEastAsia"/>
                <w:bCs/>
                <w:color w:val="auto"/>
                <w:sz w:val="21"/>
                <w:szCs w:val="21"/>
                <w:lang w:eastAsia="zh-CN"/>
              </w:rPr>
            </w:pPr>
            <w:r>
              <w:rPr>
                <w:rFonts w:hint="default" w:ascii="Times New Roman" w:hAnsi="Times New Roman" w:cs="Times New Roman" w:eastAsiaTheme="minorEastAsia"/>
                <w:bCs/>
                <w:color w:val="auto"/>
                <w:sz w:val="21"/>
                <w:szCs w:val="21"/>
                <w:lang w:eastAsia="zh-CN"/>
              </w:rPr>
              <w:t>3.提供多维动态图表、精准数值双指标池，指标可选且位置自定义；</w:t>
            </w:r>
          </w:p>
          <w:p w14:paraId="4906CC9F">
            <w:pPr>
              <w:rPr>
                <w:rFonts w:hint="default" w:ascii="Times New Roman" w:hAnsi="Times New Roman" w:cs="Times New Roman" w:eastAsiaTheme="minorEastAsia"/>
                <w:bCs/>
                <w:color w:val="auto"/>
                <w:sz w:val="21"/>
                <w:szCs w:val="21"/>
                <w:lang w:eastAsia="zh-CN"/>
              </w:rPr>
            </w:pPr>
            <w:r>
              <w:rPr>
                <w:rFonts w:hint="default" w:ascii="Times New Roman" w:hAnsi="Times New Roman" w:cs="Times New Roman" w:eastAsiaTheme="minorEastAsia"/>
                <w:bCs/>
                <w:color w:val="auto"/>
                <w:sz w:val="21"/>
                <w:szCs w:val="21"/>
                <w:lang w:eastAsia="zh-CN"/>
              </w:rPr>
              <w:t>4.支持多屏展示；</w:t>
            </w:r>
          </w:p>
          <w:p w14:paraId="0D986A09">
            <w:pPr>
              <w:rPr>
                <w:rFonts w:hint="default" w:ascii="Times New Roman" w:hAnsi="Times New Roman" w:cs="Times New Roman" w:eastAsiaTheme="minorEastAsia"/>
                <w:b/>
                <w:bCs/>
                <w:color w:val="auto"/>
                <w:sz w:val="21"/>
                <w:szCs w:val="21"/>
                <w:lang w:eastAsia="zh-CN"/>
              </w:rPr>
            </w:pPr>
            <w:r>
              <w:rPr>
                <w:rFonts w:hint="default" w:ascii="Times New Roman" w:hAnsi="Times New Roman" w:cs="Times New Roman" w:eastAsiaTheme="minorEastAsia"/>
                <w:bCs/>
                <w:color w:val="auto"/>
                <w:sz w:val="21"/>
                <w:szCs w:val="21"/>
                <w:lang w:eastAsia="zh-CN"/>
              </w:rPr>
              <w:t>5.支持可视化交互，直观展示各市/县药品指标数据。</w:t>
            </w:r>
          </w:p>
        </w:tc>
      </w:tr>
      <w:tr w14:paraId="452A4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6BF7A52D">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3</w:t>
            </w:r>
          </w:p>
        </w:tc>
        <w:tc>
          <w:tcPr>
            <w:tcW w:w="1603" w:type="dxa"/>
            <w:vAlign w:val="center"/>
          </w:tcPr>
          <w:p w14:paraId="55380925">
            <w:pPr>
              <w:rPr>
                <w:rFonts w:hint="default" w:ascii="Times New Roman" w:hAnsi="Times New Roman" w:cs="Times New Roman" w:eastAsiaTheme="minorEastAsia"/>
                <w:bCs/>
                <w:color w:val="auto"/>
                <w:sz w:val="21"/>
                <w:szCs w:val="21"/>
                <w:lang w:eastAsia="zh-CN"/>
              </w:rPr>
            </w:pPr>
            <w:r>
              <w:rPr>
                <w:rStyle w:val="23"/>
                <w:rFonts w:hint="default" w:ascii="Times New Roman" w:hAnsi="Times New Roman" w:cs="Times New Roman"/>
                <w:color w:val="auto"/>
                <w:lang w:eastAsia="zh-CN" w:bidi="ar"/>
              </w:rPr>
              <w:t>★</w:t>
            </w:r>
            <w:r>
              <w:rPr>
                <w:rFonts w:hint="default" w:ascii="Times New Roman" w:hAnsi="Times New Roman" w:cs="Times New Roman" w:eastAsiaTheme="minorEastAsia"/>
                <w:bCs/>
                <w:color w:val="auto"/>
                <w:sz w:val="21"/>
                <w:szCs w:val="21"/>
                <w:lang w:eastAsia="zh-CN"/>
              </w:rPr>
              <w:t>基础分析</w:t>
            </w:r>
          </w:p>
        </w:tc>
        <w:tc>
          <w:tcPr>
            <w:tcW w:w="6976" w:type="dxa"/>
            <w:vAlign w:val="center"/>
          </w:tcPr>
          <w:p w14:paraId="5462EC70">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概述：涵盖3张国家要求上报报表。 </w:t>
            </w:r>
          </w:p>
          <w:p w14:paraId="2A0B13B5">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指标： </w:t>
            </w:r>
          </w:p>
          <w:p w14:paraId="2600BD68">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支持国家基药目录品种使用金额比例（%）、抗菌药物占药品使用比例（%）等指标的统计。</w:t>
            </w:r>
            <w:r>
              <w:rPr>
                <w:rFonts w:hint="default" w:ascii="Times New Roman" w:hAnsi="Times New Roman" w:cs="Times New Roman" w:eastAsiaTheme="minorEastAsia"/>
                <w:color w:val="auto"/>
                <w:sz w:val="21"/>
                <w:szCs w:val="21"/>
                <w:lang w:eastAsia="zh-CN"/>
              </w:rPr>
              <w:br w:type="textWrapping"/>
            </w:r>
            <w:r>
              <w:rPr>
                <w:rFonts w:hint="default" w:ascii="Times New Roman" w:hAnsi="Times New Roman" w:cs="Times New Roman" w:eastAsiaTheme="minorEastAsia"/>
                <w:color w:val="auto"/>
                <w:sz w:val="21"/>
                <w:szCs w:val="21"/>
                <w:lang w:eastAsia="zh-CN"/>
              </w:rPr>
              <w:t>支持点评处方占处方总数的比例、点评处方数、处方总数等合理用药相关指标的统计。</w:t>
            </w:r>
          </w:p>
          <w:p w14:paraId="4FF2BE7C">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支持抗菌药物使用强度（DDDs）、住院患者抗菌药物消耗量（累计DDD数）、同期收治患者人天数等合理用药相关指标的统计。</w:t>
            </w:r>
          </w:p>
          <w:p w14:paraId="34695D14">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支持统计住院患者抗菌药物使用率、住院患者抗菌药物使用强度、住院患者特殊使用级抗菌药物使用量占比等合理用药相关指标的统计。</w:t>
            </w:r>
          </w:p>
          <w:p w14:paraId="2720D95F">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支持统计重点监控药品使用率和使用量（以g或mg计算）指标统计</w:t>
            </w:r>
          </w:p>
        </w:tc>
      </w:tr>
      <w:tr w14:paraId="673BE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5146EE0F">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4</w:t>
            </w:r>
          </w:p>
        </w:tc>
        <w:tc>
          <w:tcPr>
            <w:tcW w:w="1603" w:type="dxa"/>
            <w:vAlign w:val="center"/>
          </w:tcPr>
          <w:p w14:paraId="11D63032">
            <w:pPr>
              <w:rPr>
                <w:rFonts w:hint="default" w:ascii="Times New Roman" w:hAnsi="Times New Roman" w:cs="Times New Roman" w:eastAsiaTheme="minorEastAsia"/>
                <w:bCs/>
                <w:color w:val="auto"/>
                <w:sz w:val="21"/>
                <w:szCs w:val="21"/>
                <w:lang w:eastAsia="zh-CN"/>
              </w:rPr>
            </w:pPr>
            <w:r>
              <w:rPr>
                <w:rFonts w:hint="default" w:ascii="Times New Roman" w:hAnsi="Times New Roman" w:cs="Times New Roman" w:eastAsiaTheme="minorEastAsia"/>
                <w:bCs/>
                <w:color w:val="auto"/>
                <w:sz w:val="21"/>
                <w:szCs w:val="21"/>
                <w:lang w:eastAsia="zh-CN"/>
              </w:rPr>
              <w:t>基本药物专项</w:t>
            </w:r>
          </w:p>
        </w:tc>
        <w:tc>
          <w:tcPr>
            <w:tcW w:w="6976" w:type="dxa"/>
            <w:vAlign w:val="center"/>
          </w:tcPr>
          <w:p w14:paraId="6AD102FA">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概述:提供基药使用情况统计，包括基本药物处方数、总金额、人次数等指标。</w:t>
            </w:r>
          </w:p>
          <w:p w14:paraId="39471348">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指标：</w:t>
            </w:r>
          </w:p>
          <w:p w14:paraId="6EBFA412">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支持按照机构/科室/医生维度查看门诊和住院基本药物处方数、处方人次、基本药物总金额等指标；</w:t>
            </w:r>
          </w:p>
          <w:p w14:paraId="6A5F0968">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67179809">
            <w:pPr>
              <w:pStyle w:val="19"/>
              <w:numPr>
                <w:ilvl w:val="0"/>
                <w:numId w:val="1"/>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门诊基本药物使用情况汇总</w:t>
            </w:r>
          </w:p>
          <w:p w14:paraId="739AF796">
            <w:pPr>
              <w:pStyle w:val="19"/>
              <w:numPr>
                <w:ilvl w:val="0"/>
                <w:numId w:val="1"/>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住院基本药物使用情况汇总</w:t>
            </w:r>
          </w:p>
        </w:tc>
      </w:tr>
      <w:tr w14:paraId="205B4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BE5F707">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5</w:t>
            </w:r>
          </w:p>
        </w:tc>
        <w:tc>
          <w:tcPr>
            <w:tcW w:w="1603" w:type="dxa"/>
            <w:vAlign w:val="center"/>
          </w:tcPr>
          <w:p w14:paraId="6CDFD6C9">
            <w:pPr>
              <w:rPr>
                <w:rFonts w:hint="default" w:ascii="Times New Roman" w:hAnsi="Times New Roman" w:cs="Times New Roman" w:eastAsiaTheme="minorEastAsia"/>
                <w:bCs/>
                <w:color w:val="auto"/>
                <w:sz w:val="21"/>
                <w:szCs w:val="21"/>
                <w:lang w:eastAsia="zh-CN"/>
              </w:rPr>
            </w:pPr>
            <w:r>
              <w:rPr>
                <w:rFonts w:hint="default" w:ascii="Times New Roman" w:hAnsi="Times New Roman" w:cs="Times New Roman" w:eastAsiaTheme="minorEastAsia"/>
                <w:bCs/>
                <w:color w:val="auto"/>
                <w:sz w:val="21"/>
                <w:szCs w:val="21"/>
                <w:lang w:eastAsia="zh-CN"/>
              </w:rPr>
              <w:t>静脉输液使用合理率专项</w:t>
            </w:r>
          </w:p>
        </w:tc>
        <w:tc>
          <w:tcPr>
            <w:tcW w:w="6976" w:type="dxa"/>
            <w:vAlign w:val="center"/>
          </w:tcPr>
          <w:p w14:paraId="3E1B21A9">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概述：提供医院静脉输液使用情况统计，包括静脉输液药物总金额、静脉输液使用数（瓶/袋）、输液处方量（以ml数计）、静脉使用人次、住院人数等指标。</w:t>
            </w:r>
          </w:p>
          <w:p w14:paraId="5375290B">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指标：</w:t>
            </w:r>
          </w:p>
          <w:p w14:paraId="46FE5F37">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支持按照机构/科室/医生维度查看医院输液药物人次、总金额、静脉输液使用量（瓶/袋）、输液处方量（以ml数计）、使用率等指标。</w:t>
            </w:r>
          </w:p>
          <w:p w14:paraId="4A8A15F5">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56A0A449">
            <w:pPr>
              <w:pStyle w:val="19"/>
              <w:numPr>
                <w:ilvl w:val="0"/>
                <w:numId w:val="2"/>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住院患者静脉输液药物使用情况汇总</w:t>
            </w:r>
          </w:p>
        </w:tc>
      </w:tr>
      <w:tr w14:paraId="3ED2C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9" w:hRule="atLeast"/>
        </w:trPr>
        <w:tc>
          <w:tcPr>
            <w:tcW w:w="685" w:type="dxa"/>
            <w:vAlign w:val="center"/>
          </w:tcPr>
          <w:p w14:paraId="245415C2">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6</w:t>
            </w:r>
          </w:p>
        </w:tc>
        <w:tc>
          <w:tcPr>
            <w:tcW w:w="1603" w:type="dxa"/>
            <w:vAlign w:val="center"/>
          </w:tcPr>
          <w:p w14:paraId="071D6F7F">
            <w:pPr>
              <w:autoSpaceDE w:val="0"/>
              <w:rPr>
                <w:rFonts w:hint="default" w:ascii="Times New Roman" w:hAnsi="Times New Roman" w:cs="Times New Roman" w:eastAsiaTheme="minorEastAsia"/>
                <w:color w:val="auto"/>
                <w:sz w:val="21"/>
                <w:szCs w:val="21"/>
                <w:lang w:eastAsia="zh-CN" w:bidi="ar"/>
              </w:rPr>
            </w:pPr>
            <w:r>
              <w:rPr>
                <w:rFonts w:hint="default" w:ascii="Times New Roman" w:hAnsi="Times New Roman" w:cs="Times New Roman" w:eastAsiaTheme="minorEastAsia"/>
                <w:color w:val="auto"/>
                <w:sz w:val="21"/>
                <w:szCs w:val="21"/>
                <w:lang w:eastAsia="zh-CN" w:bidi="ar"/>
              </w:rPr>
              <w:t>重点监控药品</w:t>
            </w:r>
          </w:p>
        </w:tc>
        <w:tc>
          <w:tcPr>
            <w:tcW w:w="6976" w:type="dxa"/>
            <w:vAlign w:val="center"/>
          </w:tcPr>
          <w:p w14:paraId="0E27D1A7">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概述：提供重点监控药品相关统计，包括药品总金额、处方数、处方人次等指标。</w:t>
            </w:r>
          </w:p>
          <w:p w14:paraId="62463F3C">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指标：</w:t>
            </w:r>
          </w:p>
          <w:p w14:paraId="746C8F50">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支持按照机构/科室/医生维度查看医院重点监控药品处方数、处方人次数、用药总金额，使用率等指标。</w:t>
            </w:r>
          </w:p>
          <w:p w14:paraId="1F4651A2">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0BBD4184">
            <w:pPr>
              <w:pStyle w:val="19"/>
              <w:numPr>
                <w:ilvl w:val="0"/>
                <w:numId w:val="3"/>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患者重点监控药品使用情况汇总</w:t>
            </w:r>
          </w:p>
        </w:tc>
      </w:tr>
      <w:tr w14:paraId="7A2F9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8" w:hRule="atLeast"/>
        </w:trPr>
        <w:tc>
          <w:tcPr>
            <w:tcW w:w="685" w:type="dxa"/>
            <w:vAlign w:val="center"/>
          </w:tcPr>
          <w:p w14:paraId="6BFF9A06">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7</w:t>
            </w:r>
          </w:p>
        </w:tc>
        <w:tc>
          <w:tcPr>
            <w:tcW w:w="1603" w:type="dxa"/>
            <w:vAlign w:val="center"/>
          </w:tcPr>
          <w:p w14:paraId="696B2E1E">
            <w:pPr>
              <w:autoSpaceDE w:val="0"/>
              <w:rPr>
                <w:rFonts w:hint="default" w:ascii="Times New Roman" w:hAnsi="Times New Roman" w:cs="Times New Roman" w:eastAsiaTheme="minorEastAsia"/>
                <w:color w:val="auto"/>
                <w:sz w:val="21"/>
                <w:szCs w:val="21"/>
                <w:lang w:eastAsia="zh-CN" w:bidi="ar"/>
              </w:rPr>
            </w:pPr>
            <w:r>
              <w:rPr>
                <w:rFonts w:hint="default" w:ascii="Times New Roman" w:hAnsi="Times New Roman" w:cs="Times New Roman" w:eastAsiaTheme="minorEastAsia"/>
                <w:color w:val="auto"/>
                <w:sz w:val="21"/>
                <w:szCs w:val="21"/>
                <w:lang w:eastAsia="zh-CN" w:bidi="ar"/>
              </w:rPr>
              <w:t>手术用药专项</w:t>
            </w:r>
          </w:p>
        </w:tc>
        <w:tc>
          <w:tcPr>
            <w:tcW w:w="6976" w:type="dxa"/>
            <w:vAlign w:val="center"/>
          </w:tcPr>
          <w:p w14:paraId="78395004">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概述：提供I类、II类切口手术预防使用抗菌药物情况的相关统计。</w:t>
            </w:r>
          </w:p>
          <w:p w14:paraId="32E16E83">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指标：</w:t>
            </w:r>
          </w:p>
          <w:p w14:paraId="67305D28">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医院/科室/病区/医疗组查看I类、II类切口手术预防使用抗菌药物例次、I类、II类切口手术预防使用抗菌药物品种选择合理例次、I类、II类切口预防使用抗菌药物时间&lt;24小时和48小时的例数，计算品种选择合理率（%）和使用时间&lt;24小时和48小时比例（%）等指标。</w:t>
            </w:r>
          </w:p>
          <w:p w14:paraId="126BF6D6">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098AD02A">
            <w:pPr>
              <w:pStyle w:val="19"/>
              <w:numPr>
                <w:ilvl w:val="0"/>
                <w:numId w:val="4"/>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围手术期抗菌药物使用情况表</w:t>
            </w:r>
            <w:r>
              <w:rPr>
                <w:rFonts w:hint="eastAsia" w:ascii="Times New Roman" w:hAnsi="Times New Roman" w:cs="Times New Roman" w:eastAsiaTheme="minorEastAsia"/>
                <w:color w:val="auto"/>
                <w:sz w:val="21"/>
                <w:szCs w:val="21"/>
                <w:lang w:eastAsia="zh-CN"/>
              </w:rPr>
              <w:t>（包含住院号、科室、主管医生、病人姓名、入院出院时间、性别、年龄、入院出院诊断、手术名称、手术开始结束时间）</w:t>
            </w:r>
          </w:p>
          <w:p w14:paraId="45664250">
            <w:pPr>
              <w:pStyle w:val="19"/>
              <w:numPr>
                <w:ilvl w:val="0"/>
                <w:numId w:val="4"/>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I类、II类切口手术汇总表</w:t>
            </w:r>
          </w:p>
        </w:tc>
      </w:tr>
      <w:tr w14:paraId="0B6FE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4" w:hRule="atLeast"/>
        </w:trPr>
        <w:tc>
          <w:tcPr>
            <w:tcW w:w="685" w:type="dxa"/>
            <w:vAlign w:val="center"/>
          </w:tcPr>
          <w:p w14:paraId="557B1641">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8</w:t>
            </w:r>
          </w:p>
        </w:tc>
        <w:tc>
          <w:tcPr>
            <w:tcW w:w="1603" w:type="dxa"/>
            <w:vAlign w:val="center"/>
          </w:tcPr>
          <w:p w14:paraId="1D972A28">
            <w:pPr>
              <w:autoSpaceDE w:val="0"/>
              <w:rPr>
                <w:rFonts w:hint="default" w:ascii="Times New Roman" w:hAnsi="Times New Roman" w:cs="Times New Roman" w:eastAsiaTheme="minorEastAsia"/>
                <w:color w:val="auto"/>
                <w:sz w:val="21"/>
                <w:szCs w:val="21"/>
                <w:lang w:eastAsia="zh-CN" w:bidi="ar"/>
              </w:rPr>
            </w:pPr>
            <w:r>
              <w:rPr>
                <w:rFonts w:hint="default" w:ascii="Times New Roman" w:hAnsi="Times New Roman" w:cs="Times New Roman" w:eastAsiaTheme="minorEastAsia"/>
                <w:color w:val="auto"/>
                <w:sz w:val="21"/>
                <w:szCs w:val="21"/>
                <w:lang w:eastAsia="zh-CN" w:bidi="ar"/>
              </w:rPr>
              <w:t>药品使用分析</w:t>
            </w:r>
          </w:p>
        </w:tc>
        <w:tc>
          <w:tcPr>
            <w:tcW w:w="6976" w:type="dxa"/>
            <w:vAlign w:val="center"/>
          </w:tcPr>
          <w:p w14:paraId="44680638">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概述：提供药品使用情况统计，包括处方总数、处方总金额、平均处方金额、出院患者总人次、出院患者用药总金额等指标。</w:t>
            </w:r>
          </w:p>
          <w:p w14:paraId="79B18E82">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指标：</w:t>
            </w:r>
          </w:p>
          <w:p w14:paraId="00B62009">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支持查看全院用药总金额，全院基本药物、重点监控药品、抗菌药物、集采药品、国谈药品、抗肿瘤药物等总金额、计算各类药物金额占比（%）等指标。</w:t>
            </w:r>
          </w:p>
          <w:p w14:paraId="563A2A79">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支持按照机构/科室/医生维度查看门诊总处方数、总处方人次、平均处方药品品规数、人均药品品规数、处方数（不含中药饮片）、处方人次（不含中药饮片）等指标。</w:t>
            </w:r>
          </w:p>
          <w:p w14:paraId="47BF654F">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支持按照机构/科室/病区/医疗组维度查看住院出院患者总人次、出院患者住院总天数、平均住院天数、人均药品品规数、抗菌药物人次等指标。</w:t>
            </w:r>
          </w:p>
          <w:p w14:paraId="38BF389E">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支持按照机构/科室/医生维度查看门诊总费用、处方总金额、处方总金额（不含中药饮片）、用药总金额、用药总金额（不含中药饮片）、人均药品费用等指标。</w:t>
            </w:r>
          </w:p>
          <w:p w14:paraId="2309ADDB">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支持按照机构/科室/病区/医疗组维度查看出院患者用药总金额、平均每床日费用、平均出院患者费用、平均出院患者药品费用等指标。</w:t>
            </w:r>
          </w:p>
          <w:p w14:paraId="359A4B46">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358CCEAF">
            <w:pPr>
              <w:pStyle w:val="19"/>
              <w:numPr>
                <w:ilvl w:val="0"/>
                <w:numId w:val="5"/>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全院药品使用分析 </w:t>
            </w:r>
          </w:p>
          <w:p w14:paraId="481E2894">
            <w:pPr>
              <w:pStyle w:val="19"/>
              <w:numPr>
                <w:ilvl w:val="0"/>
                <w:numId w:val="5"/>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门诊药品用量分析 </w:t>
            </w:r>
          </w:p>
          <w:p w14:paraId="33CFDB48">
            <w:pPr>
              <w:pStyle w:val="19"/>
              <w:numPr>
                <w:ilvl w:val="0"/>
                <w:numId w:val="5"/>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住院药品用量分析 </w:t>
            </w:r>
          </w:p>
          <w:p w14:paraId="195C05E7">
            <w:pPr>
              <w:pStyle w:val="19"/>
              <w:numPr>
                <w:ilvl w:val="0"/>
                <w:numId w:val="5"/>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门诊药品金额分析 </w:t>
            </w:r>
          </w:p>
          <w:p w14:paraId="20FF3CA2">
            <w:pPr>
              <w:pStyle w:val="19"/>
              <w:numPr>
                <w:ilvl w:val="0"/>
                <w:numId w:val="5"/>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住院药品金额分析</w:t>
            </w:r>
          </w:p>
        </w:tc>
      </w:tr>
      <w:tr w14:paraId="37F49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48662F8">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9</w:t>
            </w:r>
          </w:p>
        </w:tc>
        <w:tc>
          <w:tcPr>
            <w:tcW w:w="1603" w:type="dxa"/>
            <w:vAlign w:val="center"/>
          </w:tcPr>
          <w:p w14:paraId="674A7F86">
            <w:pPr>
              <w:autoSpaceDE w:val="0"/>
              <w:rPr>
                <w:rFonts w:hint="default" w:ascii="Times New Roman" w:hAnsi="Times New Roman" w:cs="Times New Roman" w:eastAsiaTheme="minorEastAsia"/>
                <w:color w:val="auto"/>
                <w:sz w:val="21"/>
                <w:szCs w:val="21"/>
                <w:lang w:eastAsia="zh-CN" w:bidi="ar"/>
              </w:rPr>
            </w:pPr>
            <w:r>
              <w:rPr>
                <w:rFonts w:hint="default" w:ascii="Times New Roman" w:hAnsi="Times New Roman" w:cs="Times New Roman" w:eastAsiaTheme="minorEastAsia"/>
                <w:color w:val="auto"/>
                <w:sz w:val="21"/>
                <w:szCs w:val="21"/>
                <w:lang w:eastAsia="zh-CN" w:bidi="ar"/>
              </w:rPr>
              <w:t>药品处方或医嘱合格率和适宜性分析</w:t>
            </w:r>
          </w:p>
        </w:tc>
        <w:tc>
          <w:tcPr>
            <w:tcW w:w="6976" w:type="dxa"/>
            <w:vAlign w:val="center"/>
          </w:tcPr>
          <w:p w14:paraId="7A4FF358">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概述：提供药品适宜性分析，系统默认提供不同类型的警示信息统计分析。</w:t>
            </w:r>
          </w:p>
          <w:p w14:paraId="3CB968D9">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指标：</w:t>
            </w:r>
          </w:p>
          <w:p w14:paraId="398C9EEE">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支持按照机构/科室/医生维度分别查看门诊、急诊和住院处方或医嘱合格率、不规范处方或医嘱数、不规范处方或医嘱占总处方或医嘱比（%）、不适宜问题发生数等指标。</w:t>
            </w:r>
          </w:p>
          <w:p w14:paraId="78B00809">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支持查看门急诊和住院医嘱药品不适宜问题发生数、不同类型警示信息的发生数、发生数占比（%）等指标。</w:t>
            </w:r>
          </w:p>
          <w:p w14:paraId="53F46D40">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4E7DC89E">
            <w:pPr>
              <w:pStyle w:val="19"/>
              <w:numPr>
                <w:ilvl w:val="0"/>
                <w:numId w:val="6"/>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门诊用药合理率和适宜性分析 </w:t>
            </w:r>
          </w:p>
          <w:p w14:paraId="4014136A">
            <w:pPr>
              <w:pStyle w:val="19"/>
              <w:numPr>
                <w:ilvl w:val="0"/>
                <w:numId w:val="6"/>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门诊用药适宜性一览表 </w:t>
            </w:r>
          </w:p>
          <w:p w14:paraId="4378C4E6">
            <w:pPr>
              <w:pStyle w:val="19"/>
              <w:numPr>
                <w:ilvl w:val="0"/>
                <w:numId w:val="6"/>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住院用药合理率和适宜性分析 </w:t>
            </w:r>
          </w:p>
          <w:p w14:paraId="5A1F2775">
            <w:pPr>
              <w:pStyle w:val="19"/>
              <w:numPr>
                <w:ilvl w:val="0"/>
                <w:numId w:val="6"/>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住院用药适宜性一览表 </w:t>
            </w:r>
          </w:p>
          <w:p w14:paraId="1BB29608">
            <w:pPr>
              <w:pStyle w:val="19"/>
              <w:numPr>
                <w:ilvl w:val="0"/>
                <w:numId w:val="6"/>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门诊药品用药问题统计 </w:t>
            </w:r>
          </w:p>
          <w:p w14:paraId="67D0C7FB">
            <w:pPr>
              <w:pStyle w:val="19"/>
              <w:numPr>
                <w:ilvl w:val="0"/>
                <w:numId w:val="6"/>
              </w:numPr>
              <w:ind w:left="0" w:firstLine="0" w:firstLineChars="0"/>
              <w:rPr>
                <w:rFonts w:hint="default" w:ascii="Times New Roman" w:hAnsi="Times New Roman" w:cs="Times New Roman" w:eastAsiaTheme="minorEastAsia"/>
                <w:color w:val="auto"/>
                <w:sz w:val="21"/>
                <w:szCs w:val="21"/>
                <w:lang w:eastAsia="zh-CN" w:bidi="ar"/>
              </w:rPr>
            </w:pPr>
            <w:r>
              <w:rPr>
                <w:rFonts w:hint="default" w:ascii="Times New Roman" w:hAnsi="Times New Roman" w:cs="Times New Roman" w:eastAsiaTheme="minorEastAsia"/>
                <w:color w:val="auto"/>
                <w:sz w:val="21"/>
                <w:szCs w:val="21"/>
                <w:lang w:eastAsia="zh-CN"/>
              </w:rPr>
              <w:t>住院药品用药问题统计</w:t>
            </w:r>
          </w:p>
        </w:tc>
      </w:tr>
      <w:tr w14:paraId="4E4FC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F71CE80">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10</w:t>
            </w:r>
          </w:p>
        </w:tc>
        <w:tc>
          <w:tcPr>
            <w:tcW w:w="1603" w:type="dxa"/>
            <w:vAlign w:val="center"/>
          </w:tcPr>
          <w:p w14:paraId="532CAE7C">
            <w:pPr>
              <w:autoSpaceDE w:val="0"/>
              <w:rPr>
                <w:rFonts w:hint="default" w:ascii="Times New Roman" w:hAnsi="Times New Roman" w:cs="Times New Roman" w:eastAsiaTheme="minorEastAsia"/>
                <w:color w:val="auto"/>
                <w:sz w:val="21"/>
                <w:szCs w:val="21"/>
                <w:lang w:eastAsia="zh-CN" w:bidi="ar"/>
              </w:rPr>
            </w:pPr>
            <w:r>
              <w:rPr>
                <w:rFonts w:hint="default" w:ascii="Times New Roman" w:hAnsi="Times New Roman" w:cs="Times New Roman" w:eastAsiaTheme="minorEastAsia"/>
                <w:color w:val="auto"/>
                <w:sz w:val="21"/>
                <w:szCs w:val="21"/>
                <w:lang w:eastAsia="zh-CN" w:bidi="ar"/>
              </w:rPr>
              <w:t>药品使用排名</w:t>
            </w:r>
          </w:p>
        </w:tc>
        <w:tc>
          <w:tcPr>
            <w:tcW w:w="6976" w:type="dxa"/>
            <w:vAlign w:val="center"/>
          </w:tcPr>
          <w:p w14:paraId="1193C5A3">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概述：提供全院药品使用及医生用药情况排名。</w:t>
            </w:r>
          </w:p>
          <w:p w14:paraId="7E7A825A">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指标：</w:t>
            </w:r>
          </w:p>
          <w:p w14:paraId="55F80BDE">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支持按药品查看使用数量（以g或mg计算）及使用金额，同时支持查看药品使用的医院明细及科室明细。</w:t>
            </w:r>
          </w:p>
          <w:p w14:paraId="2C6C9263">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支持按医生查看基本药物、重点监控药品、抗菌药物、集采药品、国谈药品、抗肿瘤药物用药数量（以g或mg计算）和使用总金额等指标。</w:t>
            </w:r>
          </w:p>
          <w:p w14:paraId="5550B725">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699F80EA">
            <w:pPr>
              <w:pStyle w:val="19"/>
              <w:numPr>
                <w:ilvl w:val="0"/>
                <w:numId w:val="7"/>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全院药品使用排名 </w:t>
            </w:r>
          </w:p>
          <w:p w14:paraId="222A2C2E">
            <w:pPr>
              <w:pStyle w:val="19"/>
              <w:numPr>
                <w:ilvl w:val="0"/>
                <w:numId w:val="7"/>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全院医生用药排名</w:t>
            </w:r>
          </w:p>
        </w:tc>
      </w:tr>
      <w:tr w14:paraId="502B1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551138E">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11</w:t>
            </w:r>
          </w:p>
        </w:tc>
        <w:tc>
          <w:tcPr>
            <w:tcW w:w="1603" w:type="dxa"/>
            <w:vAlign w:val="center"/>
          </w:tcPr>
          <w:p w14:paraId="0E32935E">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药品增长趋势</w:t>
            </w:r>
          </w:p>
        </w:tc>
        <w:tc>
          <w:tcPr>
            <w:tcW w:w="6976" w:type="dxa"/>
            <w:vAlign w:val="center"/>
          </w:tcPr>
          <w:p w14:paraId="58401755">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概述：提供门诊及住院费用增长情况的同比分析指标。</w:t>
            </w:r>
          </w:p>
          <w:p w14:paraId="5786E224">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指标：</w:t>
            </w:r>
          </w:p>
          <w:p w14:paraId="59C39031">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支持按照机构/科室/医生维度查看门诊就诊总人次、就诊人次数同比增长（%）、次均费用、次均费用同比增长比率（%）、次均药费、次均药费同比增长比率（%）等指标。</w:t>
            </w:r>
          </w:p>
          <w:p w14:paraId="48B2C7BE">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支持按照机构/科室/病区/医疗组维度查看出院患者总人次、平均住院天数、平均住院天数同比增长比率（%）、次均费用、次均费用同比增长比率（%）、次均药费、次均药费同比增长比率（%）等指标。</w:t>
            </w:r>
          </w:p>
          <w:p w14:paraId="305FF2B8">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31CEEB4B">
            <w:pPr>
              <w:pStyle w:val="19"/>
              <w:numPr>
                <w:ilvl w:val="0"/>
                <w:numId w:val="8"/>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门诊药费增长分析表 </w:t>
            </w:r>
          </w:p>
          <w:p w14:paraId="7E178B3E">
            <w:pPr>
              <w:pStyle w:val="19"/>
              <w:numPr>
                <w:ilvl w:val="0"/>
                <w:numId w:val="8"/>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住院药费增长分析表</w:t>
            </w:r>
          </w:p>
        </w:tc>
      </w:tr>
      <w:tr w14:paraId="4E54D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8808D71">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12</w:t>
            </w:r>
          </w:p>
        </w:tc>
        <w:tc>
          <w:tcPr>
            <w:tcW w:w="1603" w:type="dxa"/>
            <w:vAlign w:val="center"/>
          </w:tcPr>
          <w:p w14:paraId="533065C1">
            <w:pPr>
              <w:rPr>
                <w:rFonts w:hint="default" w:ascii="Times New Roman" w:hAnsi="Times New Roman" w:cs="Times New Roman" w:eastAsiaTheme="minorEastAsia"/>
                <w:color w:val="auto"/>
                <w:sz w:val="21"/>
                <w:szCs w:val="21"/>
                <w:lang w:eastAsia="zh-CN" w:bidi="ar"/>
              </w:rPr>
            </w:pPr>
            <w:r>
              <w:rPr>
                <w:rFonts w:hint="default" w:ascii="Times New Roman" w:hAnsi="Times New Roman" w:cs="Times New Roman" w:eastAsiaTheme="minorEastAsia"/>
                <w:color w:val="auto"/>
                <w:sz w:val="21"/>
                <w:szCs w:val="21"/>
                <w:lang w:eastAsia="zh-CN"/>
              </w:rPr>
              <w:t>国家卫生健康委抗菌药物临床应用管理数据上报（13张）</w:t>
            </w:r>
          </w:p>
        </w:tc>
        <w:tc>
          <w:tcPr>
            <w:tcW w:w="6976" w:type="dxa"/>
            <w:vAlign w:val="center"/>
          </w:tcPr>
          <w:p w14:paraId="386525D4">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概述： 涵盖国家卫生计生委抗菌药物临床应用管理数据上报要求的13张报表。 </w:t>
            </w:r>
            <w:r>
              <w:rPr>
                <w:rFonts w:hint="default" w:ascii="Times New Roman" w:hAnsi="Times New Roman" w:cs="Times New Roman" w:eastAsiaTheme="minorEastAsia"/>
                <w:color w:val="auto"/>
                <w:sz w:val="21"/>
                <w:szCs w:val="21"/>
                <w:lang w:eastAsia="zh-CN"/>
              </w:rPr>
              <w:br w:type="textWrapping"/>
            </w:r>
            <w:r>
              <w:rPr>
                <w:rFonts w:hint="default" w:ascii="Times New Roman" w:hAnsi="Times New Roman" w:cs="Times New Roman" w:eastAsiaTheme="minorEastAsia"/>
                <w:color w:val="auto"/>
                <w:sz w:val="21"/>
                <w:szCs w:val="21"/>
                <w:lang w:eastAsia="zh-CN"/>
              </w:rPr>
              <w:t xml:space="preserve">指标： </w:t>
            </w:r>
          </w:p>
          <w:p w14:paraId="6D3654A7">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按照国家卫生健康委抗菌药物临床应用管理数据上报相关要求，支持床位使用率（%）、门诊量（人次）、急诊量（人次）、I类切口手术病人出院人次、抗菌药物使用率、抗菌药物使用强度（100人/日）、接受抗菌药物治疗的住院患者抗菌药物使用前微生物检验样本送检率（%）等指标的统计。</w:t>
            </w:r>
          </w:p>
          <w:p w14:paraId="36DC40ED">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0E9400E7">
            <w:pPr>
              <w:pStyle w:val="19"/>
              <w:numPr>
                <w:ilvl w:val="0"/>
                <w:numId w:val="9"/>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住院患者抗菌药物使用量排名前10种品种</w:t>
            </w:r>
          </w:p>
          <w:p w14:paraId="0F44789E">
            <w:pPr>
              <w:pStyle w:val="19"/>
              <w:numPr>
                <w:ilvl w:val="0"/>
                <w:numId w:val="9"/>
              </w:numPr>
              <w:ind w:left="0" w:firstLine="0" w:firstLineChars="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临床微生物标本送检率</w:t>
            </w:r>
          </w:p>
          <w:p w14:paraId="12D6024B">
            <w:pPr>
              <w:pStyle w:val="19"/>
              <w:numPr>
                <w:ilvl w:val="0"/>
                <w:numId w:val="9"/>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医疗机构药品经费使用情况调查表</w:t>
            </w:r>
          </w:p>
          <w:p w14:paraId="0114C9AE">
            <w:pPr>
              <w:pStyle w:val="19"/>
              <w:numPr>
                <w:ilvl w:val="0"/>
                <w:numId w:val="9"/>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医疗机构抗菌药物品种、规格和使用量统计调查表</w:t>
            </w:r>
          </w:p>
          <w:p w14:paraId="7D112BB3">
            <w:pPr>
              <w:pStyle w:val="19"/>
              <w:numPr>
                <w:ilvl w:val="0"/>
                <w:numId w:val="9"/>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医疗机构抗菌药物临床应用指标数据上报表</w:t>
            </w:r>
          </w:p>
        </w:tc>
      </w:tr>
      <w:tr w14:paraId="7EF44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4AEF204">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13</w:t>
            </w:r>
          </w:p>
        </w:tc>
        <w:tc>
          <w:tcPr>
            <w:tcW w:w="1603" w:type="dxa"/>
            <w:vAlign w:val="center"/>
          </w:tcPr>
          <w:p w14:paraId="585AF315">
            <w:pPr>
              <w:autoSpaceDE w:val="0"/>
              <w:rPr>
                <w:rFonts w:hint="default" w:ascii="Times New Roman" w:hAnsi="Times New Roman" w:cs="Times New Roman" w:eastAsiaTheme="minorEastAsia"/>
                <w:color w:val="auto"/>
                <w:sz w:val="21"/>
                <w:szCs w:val="21"/>
                <w:lang w:eastAsia="zh-CN" w:bidi="ar"/>
              </w:rPr>
            </w:pPr>
            <w:r>
              <w:rPr>
                <w:rFonts w:hint="default" w:ascii="Times New Roman" w:hAnsi="Times New Roman" w:cs="Times New Roman" w:eastAsiaTheme="minorEastAsia"/>
                <w:color w:val="auto"/>
                <w:sz w:val="21"/>
                <w:szCs w:val="21"/>
                <w:lang w:eastAsia="zh-CN" w:bidi="ar"/>
              </w:rPr>
              <w:t>抗肿瘤药物专项</w:t>
            </w:r>
          </w:p>
        </w:tc>
        <w:tc>
          <w:tcPr>
            <w:tcW w:w="6976" w:type="dxa"/>
            <w:vAlign w:val="center"/>
          </w:tcPr>
          <w:p w14:paraId="5B770B42">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 xml:space="preserve">概述： 提供门诊及住院抗肿瘤药物使用情况的统计指标，包括抗肿瘤药物总金额、抗肿瘤药物处方数、出院患者抗肿瘤药物使用人次数等统计指标。 </w:t>
            </w:r>
            <w:r>
              <w:rPr>
                <w:rFonts w:hint="default" w:ascii="Times New Roman" w:hAnsi="Times New Roman" w:cs="Times New Roman" w:eastAsiaTheme="minorEastAsia"/>
                <w:color w:val="auto"/>
                <w:sz w:val="21"/>
                <w:szCs w:val="21"/>
                <w:lang w:eastAsia="zh-CN"/>
              </w:rPr>
              <w:br w:type="textWrapping"/>
            </w:r>
            <w:r>
              <w:rPr>
                <w:rFonts w:hint="default" w:ascii="Times New Roman" w:hAnsi="Times New Roman" w:cs="Times New Roman" w:eastAsiaTheme="minorEastAsia"/>
                <w:color w:val="auto"/>
                <w:sz w:val="21"/>
                <w:szCs w:val="21"/>
                <w:lang w:eastAsia="zh-CN"/>
              </w:rPr>
              <w:t xml:space="preserve">指标： </w:t>
            </w:r>
          </w:p>
          <w:p w14:paraId="54B34D66">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支持按照机构/科室/医生维度查看门诊抗肿瘤药物总金额、抗肿瘤药物金额占比（%）、普通使用级抗肿瘤药物使用金额、普通使用级抗肿瘤药物使用金额占比（%）等指标。</w:t>
            </w:r>
          </w:p>
          <w:p w14:paraId="420E2A71">
            <w:pP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支持按照机构/科室/病区/医疗组维度查看住院抗肿瘤药物使用总金额、抗肿瘤药物使用总金额占比（%）、人均抗肿瘤药物费用、普通使用级抗肿瘤药物使用金额等指标。</w:t>
            </w:r>
          </w:p>
          <w:p w14:paraId="5E4D9CD4">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 xml:space="preserve">报表清单： </w:t>
            </w:r>
          </w:p>
          <w:p w14:paraId="3257F751">
            <w:pPr>
              <w:pStyle w:val="19"/>
              <w:numPr>
                <w:ilvl w:val="0"/>
                <w:numId w:val="10"/>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门诊抗肿瘤药物临床使用情况汇总</w:t>
            </w:r>
          </w:p>
          <w:p w14:paraId="527D1851">
            <w:pPr>
              <w:pStyle w:val="19"/>
              <w:numPr>
                <w:ilvl w:val="0"/>
                <w:numId w:val="10"/>
              </w:numPr>
              <w:ind w:left="0"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住院抗肿瘤药物临床使用情况汇总</w:t>
            </w:r>
          </w:p>
        </w:tc>
      </w:tr>
      <w:tr w14:paraId="5EDAB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1EB501B3">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14</w:t>
            </w:r>
          </w:p>
        </w:tc>
        <w:tc>
          <w:tcPr>
            <w:tcW w:w="1603" w:type="dxa"/>
            <w:vAlign w:val="center"/>
          </w:tcPr>
          <w:p w14:paraId="40E84F9C">
            <w:pP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其他功能</w:t>
            </w:r>
          </w:p>
        </w:tc>
        <w:tc>
          <w:tcPr>
            <w:tcW w:w="6976" w:type="dxa"/>
            <w:vAlign w:val="center"/>
          </w:tcPr>
          <w:p w14:paraId="727D707C">
            <w:pPr>
              <w:pStyle w:val="19"/>
              <w:numPr>
                <w:ilvl w:val="0"/>
                <w:numId w:val="0"/>
              </w:numPr>
              <w:ind w:left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val="en-US" w:eastAsia="zh-CN"/>
              </w:rPr>
              <w:t>1.</w:t>
            </w:r>
            <w:r>
              <w:rPr>
                <w:rFonts w:hint="default" w:ascii="Times New Roman" w:hAnsi="Times New Roman" w:cs="Times New Roman" w:eastAsiaTheme="minorEastAsia"/>
                <w:color w:val="auto"/>
                <w:sz w:val="21"/>
                <w:szCs w:val="21"/>
                <w:lang w:eastAsia="zh-CN"/>
              </w:rPr>
              <w:t xml:space="preserve">支持报表按机构科室、医生（或医疗组）的下钻展示，并支持按条件筛选报表统计结果； </w:t>
            </w:r>
          </w:p>
          <w:p w14:paraId="2C00F4A7">
            <w:pPr>
              <w:pStyle w:val="19"/>
              <w:numPr>
                <w:ilvl w:val="0"/>
                <w:numId w:val="0"/>
              </w:numPr>
              <w:ind w:left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val="en-US" w:eastAsia="zh-CN"/>
              </w:rPr>
              <w:t>2.</w:t>
            </w:r>
            <w:r>
              <w:rPr>
                <w:rFonts w:hint="default" w:ascii="Times New Roman" w:hAnsi="Times New Roman" w:cs="Times New Roman" w:eastAsiaTheme="minorEastAsia"/>
                <w:color w:val="auto"/>
                <w:sz w:val="21"/>
                <w:szCs w:val="21"/>
                <w:lang w:eastAsia="zh-CN"/>
              </w:rPr>
              <w:t xml:space="preserve">支持按月、季度、年自动生成周期性报表，同时支持用户手动生成非周期性报表数据； </w:t>
            </w:r>
          </w:p>
          <w:p w14:paraId="4C5FBCDC">
            <w:pPr>
              <w:pStyle w:val="19"/>
              <w:numPr>
                <w:ilvl w:val="0"/>
                <w:numId w:val="0"/>
              </w:numPr>
              <w:ind w:left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val="en-US" w:eastAsia="zh-CN"/>
              </w:rPr>
              <w:t>3.</w:t>
            </w:r>
            <w:r>
              <w:rPr>
                <w:rFonts w:hint="default" w:ascii="Times New Roman" w:hAnsi="Times New Roman" w:cs="Times New Roman" w:eastAsiaTheme="minorEastAsia"/>
                <w:color w:val="auto"/>
                <w:sz w:val="21"/>
                <w:szCs w:val="21"/>
                <w:lang w:eastAsia="zh-CN"/>
              </w:rPr>
              <w:t xml:space="preserve">支持在线调整报表的显示内容，包括显示哪些指标及指标显示顺序； </w:t>
            </w:r>
          </w:p>
          <w:p w14:paraId="45FD0CEF">
            <w:pPr>
              <w:pStyle w:val="19"/>
              <w:numPr>
                <w:ilvl w:val="0"/>
                <w:numId w:val="0"/>
              </w:numPr>
              <w:ind w:left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val="en-US" w:eastAsia="zh-CN"/>
              </w:rPr>
              <w:t>4.</w:t>
            </w:r>
            <w:r>
              <w:rPr>
                <w:rFonts w:hint="default" w:ascii="Times New Roman" w:hAnsi="Times New Roman" w:cs="Times New Roman" w:eastAsiaTheme="minorEastAsia"/>
                <w:color w:val="auto"/>
                <w:sz w:val="21"/>
                <w:szCs w:val="21"/>
                <w:lang w:eastAsia="zh-CN"/>
              </w:rPr>
              <w:t xml:space="preserve">支持具体指标统计结果的点击排序； </w:t>
            </w:r>
          </w:p>
          <w:p w14:paraId="3871A8D9">
            <w:pPr>
              <w:pStyle w:val="19"/>
              <w:numPr>
                <w:ilvl w:val="0"/>
                <w:numId w:val="0"/>
              </w:numPr>
              <w:ind w:left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val="en-US" w:eastAsia="zh-CN"/>
              </w:rPr>
              <w:t>5.</w:t>
            </w:r>
            <w:r>
              <w:rPr>
                <w:rFonts w:hint="default" w:ascii="Times New Roman" w:hAnsi="Times New Roman" w:cs="Times New Roman" w:eastAsiaTheme="minorEastAsia"/>
                <w:color w:val="auto"/>
                <w:sz w:val="21"/>
                <w:szCs w:val="21"/>
                <w:lang w:eastAsia="zh-CN"/>
              </w:rPr>
              <w:t xml:space="preserve">支持点评数据有变化时，提醒用户重新生成报表； </w:t>
            </w:r>
          </w:p>
          <w:p w14:paraId="44252CDE">
            <w:pPr>
              <w:pStyle w:val="19"/>
              <w:numPr>
                <w:ilvl w:val="0"/>
                <w:numId w:val="0"/>
              </w:numPr>
              <w:ind w:left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val="en-US" w:eastAsia="zh-CN"/>
              </w:rPr>
              <w:t>6.</w:t>
            </w:r>
            <w:r>
              <w:rPr>
                <w:rFonts w:hint="default" w:ascii="Times New Roman" w:hAnsi="Times New Roman" w:cs="Times New Roman" w:eastAsiaTheme="minorEastAsia"/>
                <w:color w:val="auto"/>
                <w:sz w:val="21"/>
                <w:szCs w:val="21"/>
                <w:lang w:eastAsia="zh-CN"/>
              </w:rPr>
              <w:t xml:space="preserve">支持报表导出，导出格式为excel格式； </w:t>
            </w:r>
          </w:p>
          <w:p w14:paraId="7B0F78AE">
            <w:pPr>
              <w:pStyle w:val="19"/>
              <w:numPr>
                <w:ilvl w:val="0"/>
                <w:numId w:val="0"/>
              </w:numPr>
              <w:ind w:left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val="en-US" w:eastAsia="zh-CN"/>
              </w:rPr>
              <w:t>7.</w:t>
            </w:r>
            <w:r>
              <w:rPr>
                <w:rFonts w:hint="default" w:ascii="Times New Roman" w:hAnsi="Times New Roman" w:cs="Times New Roman" w:eastAsiaTheme="minorEastAsia"/>
                <w:color w:val="auto"/>
                <w:sz w:val="21"/>
                <w:szCs w:val="21"/>
                <w:lang w:eastAsia="zh-CN"/>
              </w:rPr>
              <w:t>支持配置报表查看、报表生成、报表管理、报表填写的用户权限。</w:t>
            </w:r>
          </w:p>
        </w:tc>
      </w:tr>
      <w:tr w14:paraId="2E23B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4" w:type="dxa"/>
            <w:gridSpan w:val="3"/>
            <w:vAlign w:val="center"/>
          </w:tcPr>
          <w:p w14:paraId="2C1ED374">
            <w:pPr>
              <w:pStyle w:val="19"/>
              <w:tabs>
                <w:tab w:val="left" w:pos="360"/>
              </w:tabs>
              <w:ind w:firstLine="630" w:firstLineChars="300"/>
              <w:rPr>
                <w:rFonts w:hint="default" w:ascii="DejaVu Math TeX Gyre" w:hAnsi="DejaVu Math TeX Gyre" w:eastAsia="宋体" w:cs="Times New Roman"/>
                <w:color w:val="auto"/>
                <w:sz w:val="30"/>
                <w:szCs w:val="30"/>
                <w:lang w:eastAsia="zh-CN"/>
                <w:oMath/>
              </w:rPr>
            </w:pPr>
            <w:r>
              <w:rPr>
                <w:rFonts w:hint="default" w:ascii="Times New Roman" w:hAnsi="Times New Roman" w:cs="Times New Roman" w:eastAsiaTheme="minorEastAsia"/>
                <w:color w:val="auto"/>
                <w:sz w:val="21"/>
                <w:szCs w:val="21"/>
                <w:lang w:eastAsia="zh-CN"/>
              </w:rPr>
              <w:t>药事管理专业医疗质量控制指标（2025版）计算公式：将以下公式转化成计算机语言，使结果能进行统计。</w:t>
            </w:r>
          </w:p>
        </w:tc>
      </w:tr>
      <w:tr w14:paraId="0A149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1E277FF">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1</w:t>
            </w:r>
          </w:p>
        </w:tc>
        <w:tc>
          <w:tcPr>
            <w:tcW w:w="1603" w:type="dxa"/>
            <w:vAlign w:val="center"/>
          </w:tcPr>
          <w:p w14:paraId="2E822BD4">
            <w:pPr>
              <w:rPr>
                <w:rFonts w:hint="default" w:ascii="Times New Roman" w:hAnsi="Times New Roman" w:cs="Times New Roman" w:eastAsiaTheme="minorEastAsia"/>
                <w:color w:val="auto"/>
                <w:sz w:val="21"/>
                <w:szCs w:val="21"/>
              </w:rPr>
            </w:pPr>
            <w:r>
              <w:rPr>
                <w:rFonts w:hint="default" w:ascii="Times New Roman" w:hAnsi="Times New Roman" w:cs="Times New Roman"/>
                <w:color w:val="auto"/>
                <w:szCs w:val="21"/>
                <w:lang w:eastAsia="zh-CN"/>
              </w:rPr>
              <w:t>处方审核率</w:t>
            </w:r>
          </w:p>
        </w:tc>
        <w:tc>
          <w:tcPr>
            <w:tcW w:w="6976" w:type="dxa"/>
            <w:vAlign w:val="center"/>
          </w:tcPr>
          <w:p w14:paraId="44D88FAF">
            <w:pPr>
              <w:pStyle w:val="37"/>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1.门诊处方审核率</w:t>
            </w:r>
          </w:p>
          <w:p w14:paraId="285F784A">
            <w:pPr>
              <w:pStyle w:val="37"/>
              <w:snapToGrid w:val="0"/>
              <w:ind w:left="110" w:leftChars="50" w:right="110" w:rightChars="50"/>
              <w:rPr>
                <w:rFonts w:hint="default" w:ascii="Times New Roman" w:hAnsi="Times New Roman" w:eastAsia="宋体" w:cs="Times New Roman"/>
                <w:color w:val="auto"/>
                <w:szCs w:val="21"/>
                <w:lang w:eastAsia="zh-CN"/>
              </w:rPr>
            </w:pPr>
            <m:oMath>
              <m:f>
                <m:fPr>
                  <m:ctrlPr>
                    <w:rPr>
                      <w:rFonts w:hint="default" w:ascii="DejaVu Math TeX Gyre" w:hAnsi="DejaVu Math TeX Gyre" w:eastAsia="宋体" w:cs="Times New Roman"/>
                      <w:i/>
                      <w:color w:val="auto"/>
                      <w:sz w:val="30"/>
                      <w:szCs w:val="30"/>
                    </w:rPr>
                  </m:ctrlPr>
                </m:fPr>
                <m:num>
                  <m:r>
                    <m:rPr>
                      <m:sty m:val="p"/>
                    </m:rPr>
                    <w:rPr>
                      <w:rFonts w:hint="default" w:ascii="DejaVu Math TeX Gyre" w:hAnsi="DejaVu Math TeX Gyre" w:eastAsia="宋体" w:cs="Times New Roman"/>
                      <w:color w:val="auto"/>
                      <w:sz w:val="30"/>
                      <w:szCs w:val="30"/>
                      <w:lang w:eastAsia="zh-CN"/>
                    </w:rPr>
                    <m:t>药品收费前药师审核门诊处方数</m:t>
                  </m: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同期门诊处方总数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lang w:eastAsia="zh-CN"/>
              </w:rPr>
              <w:t>×100%</w:t>
            </w:r>
          </w:p>
          <w:p w14:paraId="0CEC5ED6">
            <w:pPr>
              <w:pStyle w:val="19"/>
              <w:ind w:firstLine="0" w:firstLineChars="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2.急诊处方审核率</w:t>
            </w:r>
          </w:p>
          <w:p w14:paraId="18582B06">
            <w:pPr>
              <w:pStyle w:val="19"/>
              <w:ind w:firstLine="0" w:firstLineChars="0"/>
              <w:rPr>
                <w:rFonts w:hint="default" w:ascii="Times New Roman" w:hAnsi="Times New Roman" w:eastAsia="宋体" w:cs="Times New Roman"/>
                <w:color w:val="auto"/>
                <w:szCs w:val="21"/>
                <w:lang w:eastAsia="zh-CN"/>
              </w:rPr>
            </w:pPr>
            <m:oMath>
              <m:f>
                <m:fPr>
                  <m:ctrlPr>
                    <w:rPr>
                      <w:rFonts w:hint="default" w:ascii="DejaVu Math TeX Gyre" w:hAnsi="DejaVu Math TeX Gyre" w:eastAsia="宋体" w:cs="Times New Roman"/>
                      <w:i/>
                      <w:color w:val="auto"/>
                      <w:sz w:val="30"/>
                      <w:szCs w:val="30"/>
                    </w:rPr>
                  </m:ctrlPr>
                </m:fPr>
                <m:num>
                  <m:r>
                    <m:rPr>
                      <m:sty m:val="p"/>
                    </m:rPr>
                    <w:rPr>
                      <w:rFonts w:hint="default" w:ascii="DejaVu Math TeX Gyre" w:hAnsi="DejaVu Math TeX Gyre" w:eastAsia="宋体" w:cs="Times New Roman"/>
                      <w:color w:val="auto"/>
                      <w:sz w:val="30"/>
                      <w:szCs w:val="30"/>
                      <w:lang w:eastAsia="zh-CN"/>
                    </w:rPr>
                    <m:t>药品收费前药师审核急诊处方数</m:t>
                  </m: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同期急诊处方总数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lang w:eastAsia="zh-CN"/>
              </w:rPr>
              <w:t>×100%</w:t>
            </w:r>
          </w:p>
          <w:p w14:paraId="2470AF46">
            <w:pPr>
              <w:pStyle w:val="19"/>
              <w:ind w:firstLine="0" w:firstLineChars="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3.住院用药医嘱审核率</w:t>
            </w:r>
          </w:p>
          <w:p w14:paraId="62DF4AED">
            <w:pPr>
              <w:pStyle w:val="19"/>
              <w:ind w:firstLine="0" w:firstLineChars="0"/>
              <w:rPr>
                <w:rFonts w:hint="default" w:ascii="Times New Roman" w:hAnsi="Times New Roman" w:eastAsia="宋体" w:cs="Times New Roman"/>
                <w:color w:val="auto"/>
                <w:szCs w:val="21"/>
                <w:lang w:eastAsia="zh-CN"/>
              </w:rPr>
            </w:pPr>
            <m:oMath>
              <m:f>
                <m:fPr>
                  <m:ctrlPr>
                    <w:rPr>
                      <w:rFonts w:hint="default" w:ascii="DejaVu Math TeX Gyre" w:hAnsi="DejaVu Math TeX Gyre" w:eastAsia="宋体" w:cs="Times New Roman"/>
                      <w:i/>
                      <w:color w:val="auto"/>
                      <w:sz w:val="30"/>
                      <w:szCs w:val="30"/>
                    </w:rPr>
                  </m:ctrlPr>
                </m:fPr>
                <m:num>
                  <m:eqArr>
                    <m:eqArrPr>
                      <m:ctrlPr>
                        <w:rPr>
                          <w:rFonts w:hint="default" w:ascii="DejaVu Math TeX Gyre" w:hAnsi="DejaVu Math TeX Gyre" w:eastAsia="宋体" w:cs="Times New Roman"/>
                          <w:color w:val="auto"/>
                          <w:sz w:val="30"/>
                          <w:szCs w:val="30"/>
                        </w:rPr>
                      </m:ctrlPr>
                    </m:eqArrPr>
                    <m:e>
                      <m:r>
                        <m:rPr>
                          <m:sty m:val="p"/>
                        </m:rPr>
                        <w:rPr>
                          <w:rFonts w:hint="default" w:ascii="DejaVu Math TeX Gyre" w:hAnsi="DejaVu Math TeX Gyre" w:eastAsia="宋体" w:cs="Times New Roman"/>
                          <w:color w:val="auto"/>
                          <w:sz w:val="30"/>
                          <w:szCs w:val="30"/>
                          <w:lang w:eastAsia="zh-CN"/>
                        </w:rPr>
                        <m:t>药品收费前药师审核住院患者用药医嘱条目数</m:t>
                      </m:r>
                      <m:ctrlPr>
                        <w:rPr>
                          <w:rFonts w:hint="default" w:ascii="DejaVu Math TeX Gyre" w:hAnsi="DejaVu Math TeX Gyre" w:eastAsia="宋体" w:cs="Times New Roman"/>
                          <w:color w:val="auto"/>
                          <w:sz w:val="30"/>
                          <w:szCs w:val="30"/>
                        </w:rPr>
                      </m:ctrlPr>
                    </m:e>
                  </m:eqAr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同期住院患者用药医嘱总条目数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lang w:eastAsia="zh-CN"/>
              </w:rPr>
              <w:t>×100%</w:t>
            </w:r>
          </w:p>
        </w:tc>
      </w:tr>
      <w:tr w14:paraId="5B56E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6" w:hRule="atLeast"/>
        </w:trPr>
        <w:tc>
          <w:tcPr>
            <w:tcW w:w="685" w:type="dxa"/>
            <w:vAlign w:val="center"/>
          </w:tcPr>
          <w:p w14:paraId="5DF7A591">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val="en-US" w:eastAsia="zh-CN"/>
              </w:rPr>
              <w:t>2</w:t>
            </w:r>
          </w:p>
        </w:tc>
        <w:tc>
          <w:tcPr>
            <w:tcW w:w="1603" w:type="dxa"/>
            <w:vAlign w:val="center"/>
          </w:tcPr>
          <w:p w14:paraId="5D0C23F1">
            <w:pPr>
              <w:rPr>
                <w:rFonts w:hint="default" w:ascii="Times New Roman" w:hAnsi="Times New Roman" w:cs="Times New Roman"/>
                <w:color w:val="auto"/>
                <w:szCs w:val="21"/>
                <w:lang w:eastAsia="zh-CN"/>
              </w:rPr>
            </w:pPr>
            <w:r>
              <w:rPr>
                <w:rFonts w:hint="default" w:ascii="Times New Roman" w:hAnsi="Times New Roman" w:eastAsia="宋体" w:cs="Times New Roman"/>
                <w:color w:val="auto"/>
                <w:szCs w:val="21"/>
                <w:lang w:eastAsia="zh-CN"/>
              </w:rPr>
              <w:t>处方点评率</w:t>
            </w:r>
          </w:p>
        </w:tc>
        <w:tc>
          <w:tcPr>
            <w:tcW w:w="6976" w:type="dxa"/>
            <w:vAlign w:val="center"/>
          </w:tcPr>
          <w:p w14:paraId="5D33E7FC">
            <w:pPr>
              <w:pStyle w:val="37"/>
              <w:snapToGrid w:val="0"/>
              <w:ind w:right="110" w:rightChars="50"/>
              <w:rPr>
                <w:rFonts w:hint="default" w:ascii="Times New Roman" w:hAnsi="Times New Roman" w:eastAsia="宋体" w:cs="Times New Roman"/>
                <w:b/>
                <w:bCs/>
                <w:color w:val="auto"/>
                <w:szCs w:val="21"/>
              </w:rPr>
            </w:pPr>
            <m:oMathPara>
              <m:oMathParaPr>
                <m:jc m:val="left"/>
              </m:oMathParaPr>
              <m:oMath>
                <m:r>
                  <m:rPr>
                    <m:sty m:val="p"/>
                  </m:rPr>
                  <w:rPr>
                    <w:rFonts w:hint="default" w:ascii="DejaVu Math TeX Gyre" w:hAnsi="DejaVu Math TeX Gyre" w:eastAsia="宋体" w:cs="Times New Roman"/>
                    <w:color w:val="auto"/>
                    <w:szCs w:val="21"/>
                    <w:lang w:val="en-US" w:eastAsia="zh-CN"/>
                  </w:rPr>
                  <m:t>1.</m:t>
                </m:r>
                <m:r>
                  <m:rPr>
                    <m:sty m:val="p"/>
                  </m:rPr>
                  <w:rPr>
                    <w:rFonts w:hint="default" w:ascii="DejaVu Math TeX Gyre" w:hAnsi="DejaVu Math TeX Gyre" w:eastAsia="宋体" w:cs="Times New Roman"/>
                    <w:color w:val="auto"/>
                    <w:szCs w:val="21"/>
                    <w:lang w:eastAsia="zh-CN"/>
                  </w:rPr>
                  <m:t>门诊处方点评率</m:t>
                </m:r>
              </m:oMath>
            </m:oMathPara>
          </w:p>
          <w:p w14:paraId="1834A26C">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
                      <w:color w:val="auto"/>
                      <w:sz w:val="30"/>
                      <w:szCs w:val="30"/>
                    </w:rPr>
                  </m:ctrlPr>
                </m:fPr>
                <m:num>
                  <m:r>
                    <m:rPr>
                      <m:sty m:val="p"/>
                    </m:rPr>
                    <w:rPr>
                      <w:rFonts w:hint="default" w:ascii="DejaVu Math TeX Gyre" w:hAnsi="DejaVu Math TeX Gyre" w:eastAsia="宋体" w:cs="Times New Roman"/>
                      <w:color w:val="auto"/>
                      <w:sz w:val="30"/>
                      <w:szCs w:val="30"/>
                      <w:lang w:eastAsia="zh-CN"/>
                    </w:rPr>
                    <m:t>实施点评的门诊处方数</m:t>
                  </m: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同期门诊处方总数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rPr>
              <w:t>×100%</w:t>
            </w:r>
          </w:p>
          <w:p w14:paraId="55E94FCE">
            <w:pPr>
              <w:pStyle w:val="37"/>
              <w:snapToGrid w:val="0"/>
              <w:ind w:left="110" w:leftChars="50"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2.急诊处方点评率</w:t>
            </w:r>
          </w:p>
          <w:p w14:paraId="4BA27BDE">
            <w:pPr>
              <w:pStyle w:val="37"/>
              <w:snapToGrid w:val="0"/>
              <w:ind w:left="110" w:leftChars="50" w:right="110" w:rightChars="50"/>
              <w:rPr>
                <w:rFonts w:hint="default" w:ascii="Times New Roman" w:hAnsi="Times New Roman" w:eastAsia="宋体" w:cs="Times New Roman"/>
                <w:color w:val="auto"/>
                <w:szCs w:val="21"/>
                <w:lang w:eastAsia="zh-CN"/>
              </w:rPr>
            </w:pPr>
            <m:oMath>
              <m:f>
                <m:fPr>
                  <m:ctrlPr>
                    <w:rPr>
                      <w:rFonts w:hint="default" w:ascii="DejaVu Math TeX Gyre" w:hAnsi="DejaVu Math TeX Gyre" w:eastAsia="宋体" w:cs="Times New Roman"/>
                      <w:i/>
                      <w:color w:val="auto"/>
                      <w:sz w:val="30"/>
                      <w:szCs w:val="30"/>
                    </w:rPr>
                  </m:ctrlPr>
                </m:fPr>
                <m:num>
                  <m:r>
                    <m:rPr>
                      <m:sty m:val="p"/>
                    </m:rPr>
                    <w:rPr>
                      <w:rFonts w:hint="default" w:ascii="DejaVu Math TeX Gyre" w:hAnsi="DejaVu Math TeX Gyre" w:eastAsia="宋体" w:cs="Times New Roman"/>
                      <w:color w:val="auto"/>
                      <w:sz w:val="30"/>
                      <w:szCs w:val="30"/>
                      <w:lang w:eastAsia="zh-CN"/>
                    </w:rPr>
                    <m:t>实施点评的急诊处方数</m:t>
                  </m: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同期急诊处方总数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lang w:eastAsia="zh-CN"/>
              </w:rPr>
              <w:t>×100%</w:t>
            </w:r>
          </w:p>
          <w:p w14:paraId="633BBC06">
            <w:pPr>
              <w:pStyle w:val="37"/>
              <w:snapToGrid w:val="0"/>
              <w:ind w:right="110" w:rightChars="50"/>
              <w:rPr>
                <w:rFonts w:hint="default" w:ascii="Times New Roman" w:hAnsi="Times New Roman" w:eastAsia="宋体" w:cs="Times New Roman"/>
                <w:b/>
                <w:bCs/>
                <w:color w:val="auto"/>
                <w:szCs w:val="21"/>
                <w:lang w:eastAsia="zh-CN"/>
              </w:rPr>
            </w:pPr>
            <w:r>
              <w:rPr>
                <w:rFonts w:hint="default" w:ascii="Times New Roman" w:hAnsi="Times New Roman" w:eastAsia="宋体" w:cs="Times New Roman"/>
                <w:color w:val="auto"/>
                <w:szCs w:val="21"/>
                <w:lang w:val="en-US" w:eastAsia="zh-CN"/>
              </w:rPr>
              <w:t>3</w:t>
            </w:r>
            <w:r>
              <w:rPr>
                <w:rFonts w:hint="default" w:ascii="Times New Roman" w:hAnsi="Times New Roman" w:eastAsia="宋体" w:cs="Times New Roman"/>
                <w:color w:val="auto"/>
                <w:szCs w:val="21"/>
                <w:lang w:eastAsia="zh-CN"/>
              </w:rPr>
              <w:t>.住院患者用药医嘱点评率</w:t>
            </w:r>
          </w:p>
          <w:p w14:paraId="6D2DE824">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
                      <w:color w:val="auto"/>
                      <w:sz w:val="30"/>
                      <w:szCs w:val="30"/>
                    </w:rPr>
                  </m:ctrlPr>
                </m:fPr>
                <m:num>
                  <m:r>
                    <m:rPr>
                      <m:sty m:val="p"/>
                    </m:rPr>
                    <w:rPr>
                      <w:rFonts w:hint="default" w:ascii="DejaVu Math TeX Gyre" w:hAnsi="DejaVu Math TeX Gyre" w:eastAsia="宋体" w:cs="Times New Roman"/>
                      <w:color w:val="auto"/>
                      <w:sz w:val="30"/>
                      <w:szCs w:val="30"/>
                      <w:lang w:eastAsia="zh-CN"/>
                    </w:rPr>
                    <m:t>实施点评的出院病历数</m:t>
                  </m: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同期出院病历总数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rPr>
              <w:t>×100%</w:t>
            </w:r>
          </w:p>
          <w:p w14:paraId="7B9132F6">
            <w:pPr>
              <w:pStyle w:val="37"/>
              <w:numPr>
                <w:ilvl w:val="0"/>
                <w:numId w:val="0"/>
              </w:numPr>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val="en-US" w:eastAsia="zh-CN"/>
              </w:rPr>
              <w:t>4.</w:t>
            </w:r>
            <w:r>
              <w:rPr>
                <w:rFonts w:hint="default" w:ascii="Times New Roman" w:hAnsi="Times New Roman" w:eastAsia="宋体" w:cs="Times New Roman"/>
                <w:color w:val="auto"/>
                <w:szCs w:val="21"/>
                <w:lang w:eastAsia="zh-CN"/>
              </w:rPr>
              <w:t>重点监控合理用药药品住院患者用药医嘱点评率</w:t>
            </w:r>
          </w:p>
          <w:p w14:paraId="7EC5D62D">
            <w:pPr>
              <w:pStyle w:val="37"/>
              <w:snapToGrid w:val="0"/>
              <w:ind w:left="110" w:leftChars="50" w:right="110" w:rightChars="50"/>
              <w:rPr>
                <w:rFonts w:hint="default" w:ascii="DejaVu Math TeX Gyre" w:hAnsi="DejaVu Math TeX Gyre" w:eastAsia="宋体" w:cs="Times New Roman"/>
                <w:color w:val="auto"/>
                <w:szCs w:val="21"/>
                <w:lang w:eastAsia="zh-CN"/>
                <w:oMath/>
              </w:rPr>
            </w:pPr>
            <m:oMath>
              <m:f>
                <m:fPr>
                  <m:ctrlPr>
                    <w:rPr>
                      <w:rFonts w:hint="default" w:ascii="DejaVu Math TeX Gyre" w:hAnsi="DejaVu Math TeX Gyre" w:eastAsia="宋体" w:cs="Times New Roman"/>
                      <w:iCs/>
                      <w:color w:val="auto"/>
                      <w:sz w:val="30"/>
                      <w:szCs w:val="30"/>
                    </w:rPr>
                  </m:ctrlPr>
                </m:fPr>
                <m:num>
                  <m:eqArr>
                    <m:eqArrPr>
                      <m:ctrlPr>
                        <w:rPr>
                          <w:rFonts w:hint="default" w:ascii="DejaVu Math TeX Gyre" w:hAnsi="DejaVu Math TeX Gyre" w:eastAsia="宋体" w:cs="Times New Roman"/>
                          <w:iCs/>
                          <w:color w:val="auto"/>
                          <w:sz w:val="30"/>
                          <w:szCs w:val="30"/>
                          <w:lang w:eastAsia="zh-CN"/>
                        </w:rPr>
                      </m:ctrlPr>
                    </m:eqArrPr>
                    <m:e>
                      <m:r>
                        <m:rPr>
                          <m:sty m:val="p"/>
                        </m:rPr>
                        <w:rPr>
                          <w:rFonts w:hint="default" w:ascii="DejaVu Math TeX Gyre" w:hAnsi="DejaVu Math TeX Gyre" w:eastAsia="宋体" w:cs="Times New Roman"/>
                          <w:color w:val="auto"/>
                          <w:sz w:val="30"/>
                          <w:szCs w:val="30"/>
                          <w:lang w:eastAsia="zh-CN"/>
                        </w:rPr>
                        <m:t>实施点评的使用重点监控合理用药</m:t>
                      </m:r>
                      <m:ctrlPr>
                        <w:rPr>
                          <w:rFonts w:hint="default" w:ascii="DejaVu Math TeX Gyre" w:hAnsi="DejaVu Math TeX Gyre" w:eastAsia="宋体" w:cs="Times New Roman"/>
                          <w:iCs/>
                          <w:color w:val="auto"/>
                          <w:sz w:val="30"/>
                          <w:szCs w:val="30"/>
                          <w:lang w:eastAsia="zh-CN"/>
                        </w:rPr>
                      </m:ctrlPr>
                    </m:e>
                    <m:e>
                      <m:r>
                        <m:rPr>
                          <m:sty m:val="p"/>
                        </m:rPr>
                        <w:rPr>
                          <w:rFonts w:hint="default" w:ascii="DejaVu Math TeX Gyre" w:hAnsi="DejaVu Math TeX Gyre" w:eastAsia="宋体" w:cs="Times New Roman"/>
                          <w:color w:val="auto"/>
                          <w:sz w:val="30"/>
                          <w:szCs w:val="30"/>
                          <w:lang w:eastAsia="zh-CN"/>
                        </w:rPr>
                        <m:t>药品的出院病历数</m:t>
                      </m:r>
                      <m:ctrlPr>
                        <w:rPr>
                          <w:rFonts w:hint="default" w:ascii="DejaVu Math TeX Gyre" w:hAnsi="DejaVu Math TeX Gyre" w:eastAsia="宋体" w:cs="Times New Roman"/>
                          <w:iCs/>
                          <w:color w:val="auto"/>
                          <w:sz w:val="30"/>
                          <w:szCs w:val="30"/>
                        </w:rPr>
                      </m:ctrlPr>
                    </m:e>
                  </m:eqArr>
                  <m:ctrlPr>
                    <w:rPr>
                      <w:rFonts w:hint="default" w:ascii="DejaVu Math TeX Gyre" w:hAnsi="DejaVu Math TeX Gyre" w:eastAsia="宋体" w:cs="Times New Roman"/>
                      <w:iCs/>
                      <w:color w:val="auto"/>
                      <w:sz w:val="30"/>
                      <w:szCs w:val="30"/>
                      <w:lang w:eastAsia="zh-CN"/>
                    </w:rPr>
                  </m:ctrlPr>
                </m:num>
                <m:den>
                  <m:eqArr>
                    <m:eqArrPr>
                      <m:ctrlPr>
                        <w:rPr>
                          <w:rFonts w:hint="default" w:ascii="DejaVu Math TeX Gyre" w:hAnsi="DejaVu Math TeX Gyre" w:eastAsia="宋体" w:cs="Times New Roman"/>
                          <w:iCs/>
                          <w:color w:val="auto"/>
                          <w:sz w:val="30"/>
                          <w:szCs w:val="30"/>
                          <w:lang w:eastAsia="zh-CN"/>
                        </w:rPr>
                      </m:ctrlPr>
                    </m:eqArrPr>
                    <m:e>
                      <m:r>
                        <m:rPr>
                          <m:sty m:val="p"/>
                        </m:rPr>
                        <w:rPr>
                          <w:rFonts w:hint="default" w:ascii="DejaVu Math TeX Gyre" w:hAnsi="DejaVu Math TeX Gyre" w:eastAsia="宋体" w:cs="Times New Roman"/>
                          <w:color w:val="auto"/>
                          <w:sz w:val="30"/>
                          <w:szCs w:val="30"/>
                          <w:lang w:eastAsia="zh-CN"/>
                        </w:rPr>
                        <m:t>同期使用重点监控合理用药</m:t>
                      </m:r>
                      <m:ctrlPr>
                        <w:rPr>
                          <w:rFonts w:hint="default" w:ascii="DejaVu Math TeX Gyre" w:hAnsi="DejaVu Math TeX Gyre" w:eastAsia="宋体" w:cs="Times New Roman"/>
                          <w:iCs/>
                          <w:color w:val="auto"/>
                          <w:sz w:val="30"/>
                          <w:szCs w:val="30"/>
                          <w:lang w:eastAsia="zh-CN"/>
                        </w:rPr>
                      </m:ctrlPr>
                    </m:e>
                    <m:e>
                      <m:r>
                        <m:rPr>
                          <m:sty m:val="p"/>
                        </m:rPr>
                        <w:rPr>
                          <w:rFonts w:hint="default" w:ascii="DejaVu Math TeX Gyre" w:hAnsi="DejaVu Math TeX Gyre" w:eastAsia="宋体" w:cs="Times New Roman"/>
                          <w:color w:val="auto"/>
                          <w:sz w:val="30"/>
                          <w:szCs w:val="30"/>
                          <w:lang w:eastAsia="zh-CN"/>
                        </w:rPr>
                        <m:t>药品的出院病历总数</m:t>
                      </m:r>
                      <m:ctrlPr>
                        <w:rPr>
                          <w:rFonts w:hint="default" w:ascii="DejaVu Math TeX Gyre" w:hAnsi="DejaVu Math TeX Gyre" w:eastAsia="宋体" w:cs="Times New Roman"/>
                          <w:iCs/>
                          <w:color w:val="auto"/>
                          <w:sz w:val="30"/>
                          <w:szCs w:val="30"/>
                        </w:rPr>
                      </m:ctrlPr>
                    </m:e>
                  </m:eqArr>
                  <m:ctrlPr>
                    <w:rPr>
                      <w:rFonts w:hint="default" w:ascii="DejaVu Math TeX Gyre" w:hAnsi="DejaVu Math TeX Gyre" w:eastAsia="宋体" w:cs="Times New Roman"/>
                      <w:iCs/>
                      <w:color w:val="auto"/>
                      <w:sz w:val="30"/>
                      <w:szCs w:val="30"/>
                      <w:lang w:eastAsia="zh-CN"/>
                    </w:rPr>
                  </m:ctrlPr>
                </m:den>
              </m:f>
            </m:oMath>
            <w:r>
              <w:rPr>
                <w:rFonts w:hint="default" w:ascii="Times New Roman" w:hAnsi="Times New Roman" w:eastAsia="宋体" w:cs="Times New Roman"/>
                <w:color w:val="auto"/>
                <w:szCs w:val="21"/>
              </w:rPr>
              <w:t>×100%</w:t>
            </w:r>
          </w:p>
        </w:tc>
      </w:tr>
      <w:tr w14:paraId="625CF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6" w:hRule="atLeast"/>
        </w:trPr>
        <w:tc>
          <w:tcPr>
            <w:tcW w:w="685" w:type="dxa"/>
            <w:vAlign w:val="center"/>
          </w:tcPr>
          <w:p w14:paraId="3DE96ABD">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3</w:t>
            </w:r>
          </w:p>
        </w:tc>
        <w:tc>
          <w:tcPr>
            <w:tcW w:w="1603" w:type="dxa"/>
            <w:vAlign w:val="center"/>
          </w:tcPr>
          <w:p w14:paraId="2188D17A">
            <w:pPr>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处方合理率</w:t>
            </w:r>
          </w:p>
        </w:tc>
        <w:tc>
          <w:tcPr>
            <w:tcW w:w="6976" w:type="dxa"/>
            <w:vAlign w:val="center"/>
          </w:tcPr>
          <w:p w14:paraId="022607D0">
            <w:pPr>
              <w:pStyle w:val="37"/>
              <w:snapToGrid w:val="0"/>
              <w:ind w:right="110" w:rightChars="50"/>
              <w:rPr>
                <w:rFonts w:hint="default" w:ascii="Times New Roman" w:hAnsi="Times New Roman" w:eastAsia="宋体" w:cs="Times New Roman"/>
                <w:b/>
                <w:bCs/>
                <w:color w:val="auto"/>
                <w:szCs w:val="21"/>
                <w:lang w:eastAsia="zh-CN"/>
              </w:rPr>
            </w:pPr>
            <w:r>
              <w:rPr>
                <w:rFonts w:hint="default" w:ascii="Times New Roman" w:hAnsi="Times New Roman" w:eastAsia="宋体" w:cs="Times New Roman"/>
                <w:color w:val="auto"/>
                <w:szCs w:val="21"/>
                <w:lang w:eastAsia="zh-CN"/>
              </w:rPr>
              <w:t>1.门诊处方合理率</w:t>
            </w:r>
          </w:p>
          <w:p w14:paraId="222F373D">
            <w:pPr>
              <w:pStyle w:val="37"/>
              <w:snapToGrid w:val="0"/>
              <w:ind w:left="110" w:leftChars="50" w:right="110" w:rightChars="50"/>
              <w:rPr>
                <w:rFonts w:hint="default" w:ascii="Times New Roman" w:hAnsi="Times New Roman" w:eastAsia="宋体" w:cs="Times New Roman"/>
                <w:color w:val="auto"/>
                <w:szCs w:val="21"/>
                <w:lang w:eastAsia="zh-CN"/>
              </w:rPr>
            </w:pPr>
            <m:oMath>
              <m:f>
                <m:fPr>
                  <m:ctrlPr>
                    <w:rPr>
                      <w:rFonts w:hint="default" w:ascii="DejaVu Math TeX Gyre" w:hAnsi="DejaVu Math TeX Gyre" w:eastAsia="宋体" w:cs="Times New Roman"/>
                      <w:i/>
                      <w:color w:val="auto"/>
                      <w:sz w:val="30"/>
                      <w:szCs w:val="30"/>
                    </w:rPr>
                  </m:ctrlPr>
                </m:fPr>
                <m:num>
                  <m:r>
                    <m:rPr>
                      <m:sty m:val="p"/>
                    </m:rPr>
                    <w:rPr>
                      <w:rFonts w:hint="default" w:ascii="DejaVu Math TeX Gyre" w:hAnsi="DejaVu Math TeX Gyre" w:eastAsia="宋体" w:cs="Times New Roman"/>
                      <w:color w:val="auto"/>
                      <w:sz w:val="30"/>
                      <w:szCs w:val="30"/>
                      <w:lang w:eastAsia="zh-CN"/>
                    </w:rPr>
                    <m:t>点评为合理的门诊处方数</m:t>
                  </m: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同期点评门诊处方总数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lang w:eastAsia="zh-CN"/>
              </w:rPr>
              <w:t>×100%</w:t>
            </w:r>
          </w:p>
          <w:p w14:paraId="45F54C90">
            <w:pPr>
              <w:pStyle w:val="37"/>
              <w:snapToGrid w:val="0"/>
              <w:ind w:right="110" w:rightChars="50"/>
              <w:rPr>
                <w:rFonts w:hint="default" w:ascii="Times New Roman" w:hAnsi="Times New Roman" w:eastAsia="宋体" w:cs="Times New Roman"/>
                <w:b/>
                <w:bCs/>
                <w:color w:val="auto"/>
                <w:szCs w:val="21"/>
                <w:lang w:eastAsia="zh-CN"/>
              </w:rPr>
            </w:pPr>
            <w:r>
              <w:rPr>
                <w:rFonts w:hint="default" w:ascii="Times New Roman" w:hAnsi="Times New Roman" w:eastAsia="宋体" w:cs="Times New Roman"/>
                <w:color w:val="auto"/>
                <w:szCs w:val="21"/>
                <w:lang w:val="en-US" w:eastAsia="zh-CN"/>
              </w:rPr>
              <w:t>2.</w:t>
            </w:r>
            <w:r>
              <w:rPr>
                <w:rFonts w:hint="default" w:ascii="Times New Roman" w:hAnsi="Times New Roman" w:eastAsia="宋体" w:cs="Times New Roman"/>
                <w:color w:val="auto"/>
                <w:szCs w:val="21"/>
                <w:lang w:eastAsia="zh-CN"/>
              </w:rPr>
              <w:t>急诊处方合理率</w:t>
            </w:r>
          </w:p>
          <w:p w14:paraId="3FFDB302">
            <w:pPr>
              <w:pStyle w:val="37"/>
              <w:snapToGrid w:val="0"/>
              <w:ind w:left="110" w:leftChars="50" w:right="110" w:rightChars="50"/>
              <w:rPr>
                <w:rFonts w:hint="default" w:ascii="Times New Roman" w:hAnsi="Times New Roman" w:eastAsia="宋体" w:cs="Times New Roman"/>
                <w:color w:val="auto"/>
                <w:szCs w:val="21"/>
                <w:lang w:eastAsia="zh-CN"/>
              </w:rPr>
            </w:pPr>
            <m:oMath>
              <m:f>
                <m:fPr>
                  <m:ctrlPr>
                    <w:rPr>
                      <w:rFonts w:hint="default" w:ascii="DejaVu Math TeX Gyre" w:hAnsi="DejaVu Math TeX Gyre" w:eastAsia="宋体" w:cs="Times New Roman"/>
                      <w:i/>
                      <w:color w:val="auto"/>
                      <w:sz w:val="30"/>
                      <w:szCs w:val="30"/>
                    </w:rPr>
                  </m:ctrlPr>
                </m:fPr>
                <m:num>
                  <m:r>
                    <m:rPr>
                      <m:sty m:val="p"/>
                    </m:rPr>
                    <w:rPr>
                      <w:rFonts w:hint="default" w:ascii="DejaVu Math TeX Gyre" w:hAnsi="DejaVu Math TeX Gyre" w:eastAsia="宋体" w:cs="Times New Roman"/>
                      <w:color w:val="auto"/>
                      <w:sz w:val="30"/>
                      <w:szCs w:val="30"/>
                      <w:lang w:eastAsia="zh-CN"/>
                    </w:rPr>
                    <m:t>点评为合理的急诊处方数</m:t>
                  </m: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同期点评急诊处方总数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lang w:eastAsia="zh-CN"/>
              </w:rPr>
              <w:t>×100%</w:t>
            </w:r>
          </w:p>
          <w:p w14:paraId="595F2972">
            <w:pPr>
              <w:pStyle w:val="37"/>
              <w:numPr>
                <w:ilvl w:val="0"/>
                <w:numId w:val="0"/>
              </w:numPr>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val="en-US" w:eastAsia="zh-CN"/>
              </w:rPr>
              <w:t>3.</w:t>
            </w:r>
            <w:r>
              <w:rPr>
                <w:rFonts w:hint="default" w:ascii="Times New Roman" w:hAnsi="Times New Roman" w:eastAsia="宋体" w:cs="Times New Roman"/>
                <w:color w:val="auto"/>
                <w:szCs w:val="21"/>
                <w:lang w:eastAsia="zh-CN"/>
              </w:rPr>
              <w:t>住院患者用药医嘱合理率</w:t>
            </w:r>
          </w:p>
          <w:p w14:paraId="04457BBE">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
                      <w:color w:val="auto"/>
                      <w:sz w:val="30"/>
                      <w:szCs w:val="30"/>
                    </w:rPr>
                  </m:ctrlPr>
                </m:fPr>
                <m:num>
                  <m:r>
                    <m:rPr>
                      <m:sty m:val="p"/>
                    </m:rPr>
                    <w:rPr>
                      <w:rFonts w:hint="default" w:ascii="DejaVu Math TeX Gyre" w:hAnsi="DejaVu Math TeX Gyre" w:eastAsia="宋体" w:cs="Times New Roman"/>
                      <w:color w:val="auto"/>
                      <w:sz w:val="30"/>
                      <w:szCs w:val="30"/>
                      <w:lang w:eastAsia="zh-CN"/>
                    </w:rPr>
                    <m:t>点评为合理的出院病历数</m:t>
                  </m: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同期点评出院病历总数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rPr>
              <w:t>×100%</w:t>
            </w:r>
          </w:p>
          <w:p w14:paraId="71C35132">
            <w:pPr>
              <w:pStyle w:val="37"/>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4.重点监控合理用药药品住院患者用药医嘱合理率</w:t>
            </w:r>
          </w:p>
          <w:p w14:paraId="2B1F758D">
            <w:pPr>
              <w:pStyle w:val="37"/>
              <w:snapToGrid w:val="0"/>
              <w:ind w:left="110" w:leftChars="50" w:right="110" w:rightChars="50"/>
              <w:rPr>
                <w:rFonts w:hint="default" w:ascii="DejaVu Math TeX Gyre" w:hAnsi="DejaVu Math TeX Gyre" w:eastAsia="宋体" w:cs="Times New Roman"/>
                <w:color w:val="auto"/>
                <w:szCs w:val="21"/>
                <w:lang w:eastAsia="zh-CN"/>
                <w:oMath/>
              </w:rPr>
            </w:pPr>
            <m:oMath>
              <m:f>
                <m:fPr>
                  <m:ctrlPr>
                    <w:rPr>
                      <w:rFonts w:hint="default" w:ascii="DejaVu Math TeX Gyre" w:hAnsi="DejaVu Math TeX Gyre" w:eastAsia="宋体" w:cs="Times New Roman"/>
                      <w:i/>
                      <w:color w:val="auto"/>
                      <w:sz w:val="30"/>
                      <w:szCs w:val="30"/>
                    </w:rPr>
                  </m:ctrlPr>
                </m:fPr>
                <m:num>
                  <m:eqArr>
                    <m:eqArrPr>
                      <m:ctrlPr>
                        <w:rPr>
                          <w:rFonts w:hint="default" w:ascii="DejaVu Math TeX Gyre" w:hAnsi="DejaVu Math TeX Gyre" w:eastAsia="宋体" w:cs="Times New Roman"/>
                          <w:iCs/>
                          <w:color w:val="auto"/>
                          <w:sz w:val="30"/>
                          <w:szCs w:val="30"/>
                          <w:lang w:eastAsia="zh-CN"/>
                        </w:rPr>
                      </m:ctrlPr>
                    </m:eqArrPr>
                    <m:e>
                      <m:r>
                        <m:rPr>
                          <m:sty m:val="p"/>
                        </m:rPr>
                        <w:rPr>
                          <w:rFonts w:hint="default" w:ascii="DejaVu Math TeX Gyre" w:hAnsi="DejaVu Math TeX Gyre" w:eastAsia="宋体" w:cs="Times New Roman"/>
                          <w:color w:val="auto"/>
                          <w:sz w:val="30"/>
                          <w:szCs w:val="30"/>
                          <w:lang w:eastAsia="zh-CN"/>
                        </w:rPr>
                        <m:t>点评为合理的使用重点监控合理用药</m:t>
                      </m:r>
                      <m:ctrlPr>
                        <w:rPr>
                          <w:rFonts w:hint="default" w:ascii="DejaVu Math TeX Gyre" w:hAnsi="DejaVu Math TeX Gyre" w:eastAsia="宋体" w:cs="Times New Roman"/>
                          <w:iCs/>
                          <w:color w:val="auto"/>
                          <w:sz w:val="30"/>
                          <w:szCs w:val="30"/>
                          <w:lang w:eastAsia="zh-CN"/>
                        </w:rPr>
                      </m:ctrlPr>
                    </m:e>
                    <m:e>
                      <m:r>
                        <m:rPr>
                          <m:sty m:val="p"/>
                        </m:rPr>
                        <w:rPr>
                          <w:rFonts w:hint="default" w:ascii="DejaVu Math TeX Gyre" w:hAnsi="DejaVu Math TeX Gyre" w:eastAsia="宋体" w:cs="Times New Roman"/>
                          <w:color w:val="auto"/>
                          <w:sz w:val="30"/>
                          <w:szCs w:val="30"/>
                          <w:lang w:eastAsia="zh-CN"/>
                        </w:rPr>
                        <m:t>药品的出院病历数</m:t>
                      </m:r>
                      <m:ctrlPr>
                        <w:rPr>
                          <w:rFonts w:hint="default" w:ascii="DejaVu Math TeX Gyre" w:hAnsi="DejaVu Math TeX Gyre" w:eastAsia="宋体" w:cs="Times New Roman"/>
                          <w:color w:val="auto"/>
                          <w:sz w:val="30"/>
                          <w:szCs w:val="30"/>
                        </w:rPr>
                      </m:ctrlPr>
                    </m:e>
                  </m:eqArr>
                  <m:ctrlPr>
                    <w:rPr>
                      <w:rFonts w:hint="default" w:ascii="DejaVu Math TeX Gyre" w:hAnsi="DejaVu Math TeX Gyre" w:eastAsia="宋体" w:cs="Times New Roman"/>
                      <w:iCs/>
                      <w:color w:val="auto"/>
                      <w:sz w:val="30"/>
                      <w:szCs w:val="30"/>
                      <w:lang w:eastAsia="zh-CN"/>
                    </w:rPr>
                  </m:ctrlPr>
                </m:num>
                <m:den>
                  <m:eqArr>
                    <m:eqArrPr>
                      <m:ctrlPr>
                        <w:rPr>
                          <w:rFonts w:hint="default" w:ascii="DejaVu Math TeX Gyre" w:hAnsi="DejaVu Math TeX Gyre" w:eastAsia="宋体" w:cs="Times New Roman"/>
                          <w:iCs/>
                          <w:color w:val="auto"/>
                          <w:sz w:val="30"/>
                          <w:szCs w:val="30"/>
                          <w:lang w:eastAsia="zh-CN"/>
                        </w:rPr>
                      </m:ctrlPr>
                    </m:eqArrPr>
                    <m:e>
                      <m:r>
                        <m:rPr>
                          <m:sty m:val="p"/>
                        </m:rPr>
                        <w:rPr>
                          <w:rFonts w:hint="default" w:ascii="DejaVu Math TeX Gyre" w:hAnsi="DejaVu Math TeX Gyre" w:eastAsia="宋体" w:cs="Times New Roman"/>
                          <w:color w:val="auto"/>
                          <w:sz w:val="30"/>
                          <w:szCs w:val="30"/>
                          <w:lang w:eastAsia="zh-CN"/>
                        </w:rPr>
                        <m:t>同期点评使用重点监控合理用药</m:t>
                      </m:r>
                      <m:ctrlPr>
                        <w:rPr>
                          <w:rFonts w:hint="default" w:ascii="DejaVu Math TeX Gyre" w:hAnsi="DejaVu Math TeX Gyre" w:eastAsia="宋体" w:cs="Times New Roman"/>
                          <w:iCs/>
                          <w:color w:val="auto"/>
                          <w:sz w:val="30"/>
                          <w:szCs w:val="30"/>
                          <w:lang w:eastAsia="zh-CN"/>
                        </w:rPr>
                      </m:ctrlPr>
                    </m:e>
                    <m:e>
                      <m:r>
                        <m:rPr>
                          <m:sty m:val="p"/>
                        </m:rPr>
                        <w:rPr>
                          <w:rFonts w:hint="default" w:ascii="DejaVu Math TeX Gyre" w:hAnsi="DejaVu Math TeX Gyre" w:eastAsia="宋体" w:cs="Times New Roman"/>
                          <w:color w:val="auto"/>
                          <w:sz w:val="30"/>
                          <w:szCs w:val="30"/>
                          <w:lang w:eastAsia="zh-CN"/>
                        </w:rPr>
                        <m:t>药品的出院病历总数</m:t>
                      </m:r>
                      <m:ctrlPr>
                        <w:rPr>
                          <w:rFonts w:hint="default" w:ascii="DejaVu Math TeX Gyre" w:hAnsi="DejaVu Math TeX Gyre" w:eastAsia="宋体" w:cs="Times New Roman"/>
                          <w:color w:val="auto"/>
                          <w:sz w:val="30"/>
                          <w:szCs w:val="30"/>
                        </w:rPr>
                      </m:ctrlPr>
                    </m:e>
                  </m:eqArr>
                  <m:ctrlPr>
                    <w:rPr>
                      <w:rFonts w:hint="default" w:ascii="DejaVu Math TeX Gyre" w:hAnsi="DejaVu Math TeX Gyre" w:eastAsia="宋体" w:cs="Times New Roman"/>
                      <w:iCs/>
                      <w:color w:val="auto"/>
                      <w:sz w:val="30"/>
                      <w:szCs w:val="30"/>
                      <w:lang w:eastAsia="zh-CN"/>
                    </w:rPr>
                  </m:ctrlPr>
                </m:den>
              </m:f>
            </m:oMath>
            <w:r>
              <w:rPr>
                <w:rFonts w:hint="default" w:ascii="Times New Roman" w:hAnsi="Times New Roman" w:eastAsia="宋体" w:cs="Times New Roman"/>
                <w:color w:val="auto"/>
                <w:szCs w:val="21"/>
              </w:rPr>
              <w:t>×100%</w:t>
            </w:r>
          </w:p>
        </w:tc>
      </w:tr>
      <w:tr w14:paraId="37802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2153F6AF">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4</w:t>
            </w:r>
          </w:p>
        </w:tc>
        <w:tc>
          <w:tcPr>
            <w:tcW w:w="1603" w:type="dxa"/>
            <w:vAlign w:val="center"/>
          </w:tcPr>
          <w:p w14:paraId="1085AD86">
            <w:pPr>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rPr>
              <w:t>住院患者药学监护率</w:t>
            </w:r>
          </w:p>
        </w:tc>
        <w:tc>
          <w:tcPr>
            <w:tcW w:w="6976" w:type="dxa"/>
            <w:vAlign w:val="center"/>
          </w:tcPr>
          <w:p w14:paraId="58C9F86C">
            <w:pPr>
              <w:pStyle w:val="37"/>
              <w:snapToGrid w:val="0"/>
              <w:ind w:left="110" w:leftChars="50" w:right="110" w:rightChars="50"/>
              <w:rPr>
                <w:rFonts w:hint="default" w:ascii="DejaVu Math TeX Gyre" w:hAnsi="DejaVu Math TeX Gyre" w:eastAsia="宋体" w:cs="Times New Roman"/>
                <w:color w:val="auto"/>
                <w:szCs w:val="21"/>
                <w:lang w:eastAsia="zh-CN"/>
                <w:oMath/>
              </w:rPr>
            </w:pPr>
            <m:oMath>
              <m:f>
                <m:fPr>
                  <m:ctrlPr>
                    <w:rPr>
                      <w:rFonts w:hint="default" w:ascii="DejaVu Math TeX Gyre" w:hAnsi="DejaVu Math TeX Gyre" w:eastAsia="宋体" w:cs="Times New Roman"/>
                      <w:iCs/>
                      <w:color w:val="auto"/>
                      <w:sz w:val="30"/>
                      <w:szCs w:val="30"/>
                    </w:rPr>
                  </m:ctrlPr>
                </m:fPr>
                <m:num>
                  <m:r>
                    <m:rPr>
                      <m:sty m:val="p"/>
                    </m:rPr>
                    <w:rPr>
                      <w:rFonts w:hint="default" w:ascii="DejaVu Math TeX Gyre" w:hAnsi="DejaVu Math TeX Gyre" w:eastAsia="宋体" w:cs="Times New Roman"/>
                      <w:color w:val="auto"/>
                      <w:sz w:val="30"/>
                      <w:szCs w:val="30"/>
                      <w:lang w:eastAsia="zh-CN"/>
                    </w:rPr>
                    <m:t>实施药学监护的住院患者人次数</m:t>
                  </m:r>
                  <m:ctrlPr>
                    <w:rPr>
                      <w:rFonts w:hint="default" w:ascii="DejaVu Math TeX Gyre" w:hAnsi="DejaVu Math TeX Gyre" w:eastAsia="宋体" w:cs="Times New Roman"/>
                      <w:iCs/>
                      <w:color w:val="auto"/>
                      <w:sz w:val="30"/>
                      <w:szCs w:val="30"/>
                    </w:rPr>
                  </m:ctrlPr>
                </m:num>
                <m:den>
                  <m:r>
                    <m:rPr>
                      <m:sty m:val="p"/>
                    </m:rPr>
                    <w:rPr>
                      <w:rFonts w:hint="default" w:ascii="DejaVu Math TeX Gyre" w:hAnsi="DejaVu Math TeX Gyre" w:eastAsia="宋体" w:cs="Times New Roman"/>
                      <w:color w:val="auto"/>
                      <w:sz w:val="30"/>
                      <w:szCs w:val="30"/>
                      <w:lang w:eastAsia="zh-CN"/>
                    </w:rPr>
                    <m:t>同期住院患者总人次数</m:t>
                  </m:r>
                  <m:ctrlPr>
                    <w:rPr>
                      <w:rFonts w:hint="default" w:ascii="DejaVu Math TeX Gyre" w:hAnsi="DejaVu Math TeX Gyre" w:eastAsia="宋体" w:cs="Times New Roman"/>
                      <w:iCs/>
                      <w:color w:val="auto"/>
                      <w:sz w:val="30"/>
                      <w:szCs w:val="30"/>
                    </w:rPr>
                  </m:ctrlPr>
                </m:den>
              </m:f>
            </m:oMath>
            <w:r>
              <w:rPr>
                <w:rFonts w:hint="default" w:ascii="Times New Roman" w:hAnsi="Times New Roman" w:eastAsia="宋体" w:cs="Times New Roman"/>
                <w:color w:val="auto"/>
                <w:szCs w:val="21"/>
              </w:rPr>
              <w:t>×100%</w:t>
            </w:r>
          </w:p>
        </w:tc>
      </w:tr>
      <w:tr w14:paraId="5E4B5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4F8F3F73">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5</w:t>
            </w:r>
          </w:p>
        </w:tc>
        <w:tc>
          <w:tcPr>
            <w:tcW w:w="1603" w:type="dxa"/>
            <w:vAlign w:val="center"/>
          </w:tcPr>
          <w:p w14:paraId="78CB4C58">
            <w:pPr>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val="zh-CN" w:eastAsia="zh-CN"/>
              </w:rPr>
              <w:t>住院患者静脉</w:t>
            </w:r>
            <w:r>
              <w:rPr>
                <w:rFonts w:hint="default" w:ascii="Times New Roman" w:hAnsi="Times New Roman" w:eastAsia="宋体" w:cs="Times New Roman"/>
                <w:color w:val="auto"/>
                <w:szCs w:val="21"/>
                <w:lang w:eastAsia="zh-CN"/>
              </w:rPr>
              <w:t>用药情况</w:t>
            </w:r>
          </w:p>
        </w:tc>
        <w:tc>
          <w:tcPr>
            <w:tcW w:w="6976" w:type="dxa"/>
            <w:vAlign w:val="center"/>
          </w:tcPr>
          <w:p w14:paraId="77238B6F">
            <w:pPr>
              <w:pStyle w:val="37"/>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1.住院患者静脉输液使用率</w:t>
            </w:r>
          </w:p>
          <w:p w14:paraId="7F82C437">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Cs/>
                      <w:color w:val="auto"/>
                      <w:sz w:val="30"/>
                      <w:szCs w:val="30"/>
                    </w:rPr>
                  </m:ctrlPr>
                </m:fPr>
                <m:num>
                  <m:r>
                    <m:rPr>
                      <m:sty m:val="p"/>
                    </m:rPr>
                    <w:rPr>
                      <w:rFonts w:hint="default" w:ascii="DejaVu Math TeX Gyre" w:hAnsi="DejaVu Math TeX Gyre" w:eastAsia="宋体" w:cs="Times New Roman"/>
                      <w:color w:val="auto"/>
                      <w:sz w:val="30"/>
                      <w:szCs w:val="30"/>
                      <w:lang w:eastAsia="zh-CN"/>
                    </w:rPr>
                    <m:t>使用静脉输液的住院患者人次数</m:t>
                  </m:r>
                  <m:ctrlPr>
                    <w:rPr>
                      <w:rFonts w:hint="default" w:ascii="DejaVu Math TeX Gyre" w:hAnsi="DejaVu Math TeX Gyre" w:eastAsia="宋体" w:cs="Times New Roman"/>
                      <w:iCs/>
                      <w:color w:val="auto"/>
                      <w:sz w:val="30"/>
                      <w:szCs w:val="30"/>
                    </w:rPr>
                  </m:ctrlPr>
                </m:num>
                <m:den>
                  <m:r>
                    <m:rPr>
                      <m:sty m:val="p"/>
                    </m:rPr>
                    <w:rPr>
                      <w:rFonts w:hint="default" w:ascii="DejaVu Math TeX Gyre" w:hAnsi="DejaVu Math TeX Gyre" w:eastAsia="宋体" w:cs="Times New Roman"/>
                      <w:color w:val="auto"/>
                      <w:sz w:val="30"/>
                      <w:szCs w:val="30"/>
                      <w:lang w:eastAsia="zh-CN"/>
                    </w:rPr>
                    <m:t>同期住院患者总人次数</m:t>
                  </m:r>
                  <m:ctrlPr>
                    <w:rPr>
                      <w:rFonts w:hint="default" w:ascii="DejaVu Math TeX Gyre" w:hAnsi="DejaVu Math TeX Gyre" w:eastAsia="宋体" w:cs="Times New Roman"/>
                      <w:iCs/>
                      <w:color w:val="auto"/>
                      <w:sz w:val="30"/>
                      <w:szCs w:val="30"/>
                    </w:rPr>
                  </m:ctrlPr>
                </m:den>
              </m:f>
            </m:oMath>
            <w:r>
              <w:rPr>
                <w:rFonts w:hint="default" w:ascii="Times New Roman" w:hAnsi="Times New Roman" w:eastAsia="宋体" w:cs="Times New Roman"/>
                <w:color w:val="auto"/>
                <w:szCs w:val="21"/>
              </w:rPr>
              <w:t>×100%</w:t>
            </w:r>
          </w:p>
          <w:p w14:paraId="6BF6CADA">
            <w:pPr>
              <w:pStyle w:val="37"/>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2.住院患者静脉输液床日占比</w:t>
            </w:r>
          </w:p>
          <w:p w14:paraId="58BAFA30">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Cs/>
                      <w:color w:val="auto"/>
                      <w:sz w:val="30"/>
                      <w:szCs w:val="30"/>
                    </w:rPr>
                  </m:ctrlPr>
                </m:fPr>
                <m:num>
                  <m:r>
                    <m:rPr>
                      <m:sty m:val="p"/>
                    </m:rPr>
                    <w:rPr>
                      <w:rFonts w:hint="default" w:ascii="DejaVu Math TeX Gyre" w:hAnsi="DejaVu Math TeX Gyre" w:eastAsia="宋体" w:cs="Times New Roman"/>
                      <w:color w:val="auto"/>
                      <w:sz w:val="30"/>
                      <w:szCs w:val="30"/>
                      <w:lang w:eastAsia="zh-CN"/>
                    </w:rPr>
                    <m:t>住院患者使用静脉输液床日数</m:t>
                  </m:r>
                  <m:ctrlPr>
                    <w:rPr>
                      <w:rFonts w:hint="default" w:ascii="DejaVu Math TeX Gyre" w:hAnsi="DejaVu Math TeX Gyre" w:eastAsia="宋体" w:cs="Times New Roman"/>
                      <w:iCs/>
                      <w:color w:val="auto"/>
                      <w:sz w:val="30"/>
                      <w:szCs w:val="30"/>
                    </w:rPr>
                  </m:ctrlPr>
                </m:num>
                <m:den>
                  <m:r>
                    <m:rPr>
                      <m:sty m:val="p"/>
                    </m:rPr>
                    <w:rPr>
                      <w:rFonts w:hint="default" w:ascii="DejaVu Math TeX Gyre" w:hAnsi="DejaVu Math TeX Gyre" w:eastAsia="宋体" w:cs="Times New Roman"/>
                      <w:color w:val="auto"/>
                      <w:sz w:val="30"/>
                      <w:szCs w:val="30"/>
                      <w:lang w:eastAsia="zh-CN"/>
                    </w:rPr>
                    <m:t>同期住院患者实际占用总床日数</m:t>
                  </m:r>
                  <m:ctrlPr>
                    <w:rPr>
                      <w:rFonts w:hint="default" w:ascii="DejaVu Math TeX Gyre" w:hAnsi="DejaVu Math TeX Gyre" w:eastAsia="宋体" w:cs="Times New Roman"/>
                      <w:iCs/>
                      <w:color w:val="auto"/>
                      <w:sz w:val="30"/>
                      <w:szCs w:val="30"/>
                    </w:rPr>
                  </m:ctrlPr>
                </m:den>
              </m:f>
            </m:oMath>
            <w:r>
              <w:rPr>
                <w:rFonts w:hint="default" w:ascii="Times New Roman" w:hAnsi="Times New Roman" w:eastAsia="宋体" w:cs="Times New Roman"/>
                <w:color w:val="auto"/>
                <w:szCs w:val="21"/>
              </w:rPr>
              <w:t>×100%</w:t>
            </w:r>
          </w:p>
          <w:p w14:paraId="598C560D">
            <w:pPr>
              <w:pStyle w:val="37"/>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3.住院患者静脉输液平均每床日使用体积（mL）</w:t>
            </w:r>
          </w:p>
          <w:p w14:paraId="4DF6C98D">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Cs/>
                      <w:color w:val="auto"/>
                      <w:sz w:val="30"/>
                      <w:szCs w:val="30"/>
                    </w:rPr>
                  </m:ctrlPr>
                </m:fPr>
                <m:num>
                  <m:r>
                    <m:rPr>
                      <m:sty m:val="p"/>
                    </m:rPr>
                    <w:rPr>
                      <w:rFonts w:hint="default" w:ascii="DejaVu Math TeX Gyre" w:hAnsi="DejaVu Math TeX Gyre" w:eastAsia="宋体" w:cs="Times New Roman"/>
                      <w:color w:val="auto"/>
                      <w:sz w:val="30"/>
                      <w:szCs w:val="30"/>
                      <w:lang w:eastAsia="zh-CN"/>
                    </w:rPr>
                    <m:t>住院患者使用静脉输液总体积（mL）</m:t>
                  </m:r>
                  <m:ctrlPr>
                    <w:rPr>
                      <w:rFonts w:hint="default" w:ascii="DejaVu Math TeX Gyre" w:hAnsi="DejaVu Math TeX Gyre" w:eastAsia="宋体" w:cs="Times New Roman"/>
                      <w:iCs/>
                      <w:color w:val="auto"/>
                      <w:sz w:val="30"/>
                      <w:szCs w:val="30"/>
                    </w:rPr>
                  </m:ctrlPr>
                </m:num>
                <m:den>
                  <m:r>
                    <m:rPr>
                      <m:sty m:val="p"/>
                    </m:rPr>
                    <w:rPr>
                      <w:rFonts w:hint="default" w:ascii="DejaVu Math TeX Gyre" w:hAnsi="DejaVu Math TeX Gyre" w:eastAsia="宋体" w:cs="Times New Roman"/>
                      <w:color w:val="auto"/>
                      <w:sz w:val="30"/>
                      <w:szCs w:val="30"/>
                      <w:lang w:eastAsia="zh-CN"/>
                    </w:rPr>
                    <m:t>同期住院患者实际占用总床日数</m:t>
                  </m:r>
                  <m:ctrlPr>
                    <w:rPr>
                      <w:rFonts w:hint="default" w:ascii="DejaVu Math TeX Gyre" w:hAnsi="DejaVu Math TeX Gyre" w:eastAsia="宋体" w:cs="Times New Roman"/>
                      <w:iCs/>
                      <w:color w:val="auto"/>
                      <w:sz w:val="30"/>
                      <w:szCs w:val="30"/>
                    </w:rPr>
                  </m:ctrlPr>
                </m:den>
              </m:f>
            </m:oMath>
            <w:r>
              <w:rPr>
                <w:rFonts w:hint="default" w:ascii="Times New Roman" w:hAnsi="Times New Roman" w:eastAsia="宋体" w:cs="Times New Roman"/>
                <w:color w:val="auto"/>
                <w:szCs w:val="21"/>
              </w:rPr>
              <w:t>×100%</w:t>
            </w:r>
          </w:p>
          <w:p w14:paraId="1771F508">
            <w:pPr>
              <w:pStyle w:val="37"/>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4.Ⅰ类切口手术经静脉预防使用抗菌药物时长≤24小时比例</w:t>
            </w:r>
          </w:p>
          <w:p w14:paraId="3FB2497C">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Cs/>
                      <w:color w:val="auto"/>
                      <w:sz w:val="30"/>
                      <w:szCs w:val="30"/>
                    </w:rPr>
                  </m:ctrlPr>
                </m:fPr>
                <m:num>
                  <m:eqArr>
                    <m:eqArrPr>
                      <m:ctrlPr>
                        <w:rPr>
                          <w:rFonts w:hint="default" w:ascii="DejaVu Math TeX Gyre" w:hAnsi="DejaVu Math TeX Gyre" w:eastAsia="宋体" w:cs="Times New Roman"/>
                          <w:iCs/>
                          <w:color w:val="auto"/>
                          <w:sz w:val="30"/>
                          <w:szCs w:val="30"/>
                          <w:lang w:eastAsia="zh-CN"/>
                        </w:rPr>
                      </m:ctrlPr>
                    </m:eqArrPr>
                    <m:e>
                      <m:r>
                        <m:rPr>
                          <m:sty m:val="p"/>
                        </m:rPr>
                        <w:rPr>
                          <w:rFonts w:hint="default" w:ascii="DejaVu Math TeX Gyre" w:hAnsi="DejaVu Math TeX Gyre" w:eastAsia="宋体" w:cs="Times New Roman"/>
                          <w:color w:val="auto"/>
                          <w:sz w:val="30"/>
                          <w:szCs w:val="30"/>
                          <w:lang w:eastAsia="zh-CN"/>
                        </w:rPr>
                        <m:t>Ⅰ类切口手术经静脉预防使用</m:t>
                      </m:r>
                      <m:ctrlPr>
                        <w:rPr>
                          <w:rFonts w:hint="default" w:ascii="DejaVu Math TeX Gyre" w:hAnsi="DejaVu Math TeX Gyre" w:eastAsia="宋体" w:cs="Times New Roman"/>
                          <w:iCs/>
                          <w:color w:val="auto"/>
                          <w:sz w:val="30"/>
                          <w:szCs w:val="30"/>
                          <w:lang w:eastAsia="zh-CN"/>
                        </w:rPr>
                      </m:ctrlPr>
                    </m:e>
                    <m:e>
                      <m:r>
                        <m:rPr>
                          <m:sty m:val="p"/>
                        </m:rPr>
                        <w:rPr>
                          <w:rFonts w:hint="default" w:ascii="DejaVu Math TeX Gyre" w:hAnsi="DejaVu Math TeX Gyre" w:eastAsia="宋体" w:cs="Times New Roman"/>
                          <w:color w:val="auto"/>
                          <w:sz w:val="30"/>
                          <w:szCs w:val="30"/>
                          <w:lang w:eastAsia="zh-CN"/>
                        </w:rPr>
                        <m:t>抗菌药物时长≤24小时的患者人次数</m:t>
                      </m:r>
                      <m:ctrlPr>
                        <w:rPr>
                          <w:rFonts w:hint="default" w:ascii="DejaVu Math TeX Gyre" w:hAnsi="DejaVu Math TeX Gyre" w:eastAsia="宋体" w:cs="Times New Roman"/>
                          <w:iCs/>
                          <w:color w:val="auto"/>
                          <w:sz w:val="30"/>
                          <w:szCs w:val="30"/>
                        </w:rPr>
                      </m:ctrlPr>
                    </m:e>
                  </m:eqArr>
                  <m:ctrlPr>
                    <w:rPr>
                      <w:rFonts w:hint="default" w:ascii="DejaVu Math TeX Gyre" w:hAnsi="DejaVu Math TeX Gyre" w:eastAsia="宋体" w:cs="Times New Roman"/>
                      <w:iCs/>
                      <w:color w:val="auto"/>
                      <w:sz w:val="30"/>
                      <w:szCs w:val="30"/>
                      <w:lang w:eastAsia="zh-CN"/>
                    </w:rPr>
                  </m:ctrlPr>
                </m:num>
                <m:den>
                  <m:r>
                    <m:rPr>
                      <m:sty m:val="p"/>
                    </m:rPr>
                    <w:rPr>
                      <w:rFonts w:hint="default" w:ascii="DejaVu Math TeX Gyre" w:hAnsi="DejaVu Math TeX Gyre" w:eastAsia="宋体" w:cs="Times New Roman"/>
                      <w:color w:val="auto"/>
                      <w:sz w:val="30"/>
                      <w:szCs w:val="30"/>
                      <w:lang w:eastAsia="zh-CN"/>
                    </w:rPr>
                    <m:t>同期Ⅰ类切口手术患者总人次数</m:t>
                  </m:r>
                  <m:ctrlPr>
                    <w:rPr>
                      <w:rFonts w:hint="default" w:ascii="DejaVu Math TeX Gyre" w:hAnsi="DejaVu Math TeX Gyre" w:eastAsia="宋体" w:cs="Times New Roman"/>
                      <w:iCs/>
                      <w:color w:val="auto"/>
                      <w:sz w:val="30"/>
                      <w:szCs w:val="30"/>
                    </w:rPr>
                  </m:ctrlPr>
                </m:den>
              </m:f>
            </m:oMath>
            <w:r>
              <w:rPr>
                <w:rFonts w:hint="default" w:ascii="Times New Roman" w:hAnsi="Times New Roman" w:eastAsia="宋体" w:cs="Times New Roman"/>
                <w:color w:val="auto"/>
                <w:szCs w:val="21"/>
              </w:rPr>
              <w:t>×100%</w:t>
            </w:r>
          </w:p>
          <w:p w14:paraId="7B9B1132">
            <w:pPr>
              <w:pStyle w:val="37"/>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5.Ⅱ类切口手术经静脉预防使用抗菌药物时长≤24小时比例</w:t>
            </w:r>
          </w:p>
          <w:p w14:paraId="64D316FD">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Cs/>
                      <w:color w:val="auto"/>
                      <w:sz w:val="30"/>
                      <w:szCs w:val="30"/>
                    </w:rPr>
                  </m:ctrlPr>
                </m:fPr>
                <m:num>
                  <m:eqArr>
                    <m:eqArrPr>
                      <m:ctrlPr>
                        <w:rPr>
                          <w:rFonts w:hint="default" w:ascii="DejaVu Math TeX Gyre" w:hAnsi="DejaVu Math TeX Gyre" w:eastAsia="宋体" w:cs="Times New Roman"/>
                          <w:iCs/>
                          <w:color w:val="auto"/>
                          <w:sz w:val="30"/>
                          <w:szCs w:val="30"/>
                          <w:lang w:eastAsia="zh-CN"/>
                        </w:rPr>
                      </m:ctrlPr>
                    </m:eqArrPr>
                    <m:e>
                      <m:r>
                        <m:rPr>
                          <m:sty m:val="p"/>
                        </m:rPr>
                        <w:rPr>
                          <w:rFonts w:hint="default" w:ascii="DejaVu Math TeX Gyre" w:hAnsi="DejaVu Math TeX Gyre" w:eastAsia="宋体" w:cs="Times New Roman"/>
                          <w:color w:val="auto"/>
                          <w:sz w:val="30"/>
                          <w:szCs w:val="30"/>
                          <w:lang w:eastAsia="zh-CN"/>
                        </w:rPr>
                        <m:t>Ⅱ类切口手术经静脉预防使用</m:t>
                      </m:r>
                      <m:ctrlPr>
                        <w:rPr>
                          <w:rFonts w:hint="default" w:ascii="DejaVu Math TeX Gyre" w:hAnsi="DejaVu Math TeX Gyre" w:eastAsia="宋体" w:cs="Times New Roman"/>
                          <w:iCs/>
                          <w:color w:val="auto"/>
                          <w:sz w:val="30"/>
                          <w:szCs w:val="30"/>
                          <w:lang w:eastAsia="zh-CN"/>
                        </w:rPr>
                      </m:ctrlPr>
                    </m:e>
                    <m:e>
                      <m:r>
                        <m:rPr>
                          <m:sty m:val="p"/>
                        </m:rPr>
                        <w:rPr>
                          <w:rFonts w:hint="default" w:ascii="DejaVu Math TeX Gyre" w:hAnsi="DejaVu Math TeX Gyre" w:eastAsia="宋体" w:cs="Times New Roman"/>
                          <w:color w:val="auto"/>
                          <w:sz w:val="30"/>
                          <w:szCs w:val="30"/>
                          <w:lang w:eastAsia="zh-CN"/>
                        </w:rPr>
                        <m:t>抗菌药物时长≤24小时的患者人次数</m:t>
                      </m:r>
                      <m:ctrlPr>
                        <w:rPr>
                          <w:rFonts w:hint="default" w:ascii="DejaVu Math TeX Gyre" w:hAnsi="DejaVu Math TeX Gyre" w:eastAsia="宋体" w:cs="Times New Roman"/>
                          <w:iCs/>
                          <w:color w:val="auto"/>
                          <w:sz w:val="30"/>
                          <w:szCs w:val="30"/>
                        </w:rPr>
                      </m:ctrlPr>
                    </m:e>
                  </m:eqArr>
                  <m:ctrlPr>
                    <w:rPr>
                      <w:rFonts w:hint="default" w:ascii="DejaVu Math TeX Gyre" w:hAnsi="DejaVu Math TeX Gyre" w:eastAsia="宋体" w:cs="Times New Roman"/>
                      <w:iCs/>
                      <w:color w:val="auto"/>
                      <w:sz w:val="30"/>
                      <w:szCs w:val="30"/>
                      <w:lang w:eastAsia="zh-CN"/>
                    </w:rPr>
                  </m:ctrlPr>
                </m:num>
                <m:den>
                  <m:r>
                    <m:rPr>
                      <m:sty m:val="p"/>
                    </m:rPr>
                    <w:rPr>
                      <w:rFonts w:hint="default" w:ascii="DejaVu Math TeX Gyre" w:hAnsi="DejaVu Math TeX Gyre" w:eastAsia="宋体" w:cs="Times New Roman"/>
                      <w:color w:val="auto"/>
                      <w:sz w:val="30"/>
                      <w:szCs w:val="30"/>
                      <w:lang w:eastAsia="zh-CN"/>
                    </w:rPr>
                    <m:t>同期Ⅱ类切口手术患者总人次数</m:t>
                  </m:r>
                  <m:ctrlPr>
                    <w:rPr>
                      <w:rFonts w:hint="default" w:ascii="DejaVu Math TeX Gyre" w:hAnsi="DejaVu Math TeX Gyre" w:eastAsia="宋体" w:cs="Times New Roman"/>
                      <w:iCs/>
                      <w:color w:val="auto"/>
                      <w:sz w:val="30"/>
                      <w:szCs w:val="30"/>
                    </w:rPr>
                  </m:ctrlPr>
                </m:den>
              </m:f>
            </m:oMath>
            <w:r>
              <w:rPr>
                <w:rFonts w:hint="default" w:ascii="Times New Roman" w:hAnsi="Times New Roman" w:eastAsia="宋体" w:cs="Times New Roman"/>
                <w:color w:val="auto"/>
                <w:szCs w:val="21"/>
              </w:rPr>
              <w:t>×100%</w:t>
            </w:r>
          </w:p>
          <w:p w14:paraId="5CD34D2E">
            <w:pPr>
              <w:pStyle w:val="37"/>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6.住院患者人均静脉用药品种数</w:t>
            </w:r>
          </w:p>
          <w:p w14:paraId="6BE846AC">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Cs/>
                      <w:color w:val="auto"/>
                      <w:sz w:val="30"/>
                      <w:szCs w:val="30"/>
                    </w:rPr>
                  </m:ctrlPr>
                </m:fPr>
                <m:num>
                  <m:eqArr>
                    <m:eqArrPr>
                      <m:ctrlPr>
                        <w:rPr>
                          <w:rFonts w:hint="default" w:ascii="DejaVu Math TeX Gyre" w:hAnsi="DejaVu Math TeX Gyre" w:eastAsia="宋体" w:cs="Times New Roman"/>
                          <w:iCs/>
                          <w:color w:val="auto"/>
                          <w:sz w:val="30"/>
                          <w:szCs w:val="30"/>
                          <w:lang w:eastAsia="zh-CN"/>
                        </w:rPr>
                      </m:ctrlPr>
                    </m:eqArrPr>
                    <m:e>
                      <m:r>
                        <m:rPr>
                          <m:sty m:val="p"/>
                        </m:rPr>
                        <w:rPr>
                          <w:rFonts w:hint="default" w:ascii="DejaVu Math TeX Gyre" w:hAnsi="DejaVu Math TeX Gyre" w:eastAsia="宋体" w:cs="Times New Roman"/>
                          <w:color w:val="auto"/>
                          <w:sz w:val="30"/>
                          <w:szCs w:val="30"/>
                          <w:lang w:eastAsia="zh-CN"/>
                        </w:rPr>
                        <m:t>住院患者静脉用药品种总数</m:t>
                      </m:r>
                      <m:ctrlPr>
                        <w:rPr>
                          <w:rFonts w:hint="default" w:ascii="DejaVu Math TeX Gyre" w:hAnsi="DejaVu Math TeX Gyre" w:eastAsia="宋体" w:cs="Times New Roman"/>
                          <w:iCs/>
                          <w:color w:val="auto"/>
                          <w:sz w:val="30"/>
                          <w:szCs w:val="30"/>
                          <w:lang w:eastAsia="zh-CN"/>
                        </w:rPr>
                      </m:ctrlPr>
                    </m:e>
                  </m:eqArr>
                  <m:ctrlPr>
                    <w:rPr>
                      <w:rFonts w:hint="default" w:ascii="DejaVu Math TeX Gyre" w:hAnsi="DejaVu Math TeX Gyre" w:eastAsia="宋体" w:cs="Times New Roman"/>
                      <w:iCs/>
                      <w:color w:val="auto"/>
                      <w:sz w:val="30"/>
                      <w:szCs w:val="30"/>
                      <w:lang w:eastAsia="zh-CN"/>
                    </w:rPr>
                  </m:ctrlPr>
                </m:num>
                <m:den>
                  <m:r>
                    <m:rPr>
                      <m:sty m:val="p"/>
                    </m:rPr>
                    <w:rPr>
                      <w:rFonts w:hint="default" w:ascii="DejaVu Math TeX Gyre" w:hAnsi="DejaVu Math TeX Gyre" w:eastAsia="宋体" w:cs="Times New Roman"/>
                      <w:color w:val="auto"/>
                      <w:sz w:val="30"/>
                      <w:szCs w:val="30"/>
                      <w:lang w:eastAsia="zh-CN"/>
                    </w:rPr>
                    <m:t>同期静脉用药住院患者人次数</m:t>
                  </m:r>
                  <m:ctrlPr>
                    <w:rPr>
                      <w:rFonts w:hint="default" w:ascii="DejaVu Math TeX Gyre" w:hAnsi="DejaVu Math TeX Gyre" w:eastAsia="宋体" w:cs="Times New Roman"/>
                      <w:iCs/>
                      <w:color w:val="auto"/>
                      <w:sz w:val="30"/>
                      <w:szCs w:val="30"/>
                    </w:rPr>
                  </m:ctrlPr>
                </m:den>
              </m:f>
            </m:oMath>
            <w:r>
              <w:rPr>
                <w:rFonts w:hint="default" w:ascii="Times New Roman" w:hAnsi="Times New Roman" w:eastAsia="宋体" w:cs="Times New Roman"/>
                <w:color w:val="auto"/>
                <w:szCs w:val="21"/>
              </w:rPr>
              <w:t>×100%</w:t>
            </w:r>
          </w:p>
          <w:p w14:paraId="03ABCCDB">
            <w:pPr>
              <w:pStyle w:val="37"/>
              <w:snapToGrid w:val="0"/>
              <w:ind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7.住院患者静脉输液泵使用率</w:t>
            </w:r>
          </w:p>
          <w:p w14:paraId="0E170C49">
            <w:pPr>
              <w:pStyle w:val="37"/>
              <w:snapToGrid w:val="0"/>
              <w:ind w:left="110" w:leftChars="50" w:right="110" w:rightChars="50"/>
              <w:rPr>
                <w:rFonts w:hint="default" w:ascii="DejaVu Math TeX Gyre" w:hAnsi="DejaVu Math TeX Gyre" w:eastAsia="宋体" w:cs="Times New Roman"/>
                <w:color w:val="auto"/>
                <w:sz w:val="30"/>
                <w:szCs w:val="30"/>
                <w:oMath/>
              </w:rPr>
            </w:pPr>
            <m:oMath>
              <m:f>
                <m:fPr>
                  <m:ctrlPr>
                    <w:rPr>
                      <w:rFonts w:hint="default" w:ascii="DejaVu Math TeX Gyre" w:hAnsi="DejaVu Math TeX Gyre" w:eastAsia="宋体" w:cs="Times New Roman"/>
                      <w:iCs/>
                      <w:color w:val="auto"/>
                      <w:sz w:val="30"/>
                      <w:szCs w:val="30"/>
                    </w:rPr>
                  </m:ctrlPr>
                </m:fPr>
                <m:num>
                  <m:eqArr>
                    <m:eqArrPr>
                      <m:ctrlPr>
                        <w:rPr>
                          <w:rFonts w:hint="default" w:ascii="DejaVu Math TeX Gyre" w:hAnsi="DejaVu Math TeX Gyre" w:eastAsia="宋体" w:cs="Times New Roman"/>
                          <w:iCs/>
                          <w:color w:val="auto"/>
                          <w:sz w:val="30"/>
                          <w:szCs w:val="30"/>
                          <w:lang w:eastAsia="zh-CN"/>
                        </w:rPr>
                      </m:ctrlPr>
                    </m:eqArrPr>
                    <m:e>
                      <m:r>
                        <m:rPr>
                          <m:sty m:val="p"/>
                        </m:rPr>
                        <w:rPr>
                          <w:rFonts w:hint="default" w:ascii="DejaVu Math TeX Gyre" w:hAnsi="DejaVu Math TeX Gyre" w:eastAsia="宋体" w:cs="Times New Roman"/>
                          <w:color w:val="auto"/>
                          <w:sz w:val="30"/>
                          <w:szCs w:val="30"/>
                          <w:lang w:eastAsia="zh-CN"/>
                        </w:rPr>
                        <m:t>使用静脉输液泵的住院患者人次数</m:t>
                      </m:r>
                      <m:ctrlPr>
                        <w:rPr>
                          <w:rFonts w:hint="default" w:ascii="DejaVu Math TeX Gyre" w:hAnsi="DejaVu Math TeX Gyre" w:eastAsia="宋体" w:cs="Times New Roman"/>
                          <w:iCs/>
                          <w:color w:val="auto"/>
                          <w:sz w:val="30"/>
                          <w:szCs w:val="30"/>
                          <w:lang w:eastAsia="zh-CN"/>
                        </w:rPr>
                      </m:ctrlPr>
                    </m:e>
                  </m:eqArr>
                  <m:ctrlPr>
                    <w:rPr>
                      <w:rFonts w:hint="default" w:ascii="DejaVu Math TeX Gyre" w:hAnsi="DejaVu Math TeX Gyre" w:eastAsia="宋体" w:cs="Times New Roman"/>
                      <w:iCs/>
                      <w:color w:val="auto"/>
                      <w:sz w:val="30"/>
                      <w:szCs w:val="30"/>
                      <w:lang w:eastAsia="zh-CN"/>
                    </w:rPr>
                  </m:ctrlPr>
                </m:num>
                <m:den>
                  <m:r>
                    <m:rPr>
                      <m:sty m:val="p"/>
                    </m:rPr>
                    <w:rPr>
                      <w:rFonts w:hint="default" w:ascii="DejaVu Math TeX Gyre" w:hAnsi="DejaVu Math TeX Gyre" w:eastAsia="宋体" w:cs="Times New Roman"/>
                      <w:color w:val="auto"/>
                      <w:sz w:val="30"/>
                      <w:szCs w:val="30"/>
                      <w:lang w:eastAsia="zh-CN"/>
                    </w:rPr>
                    <m:t>同期住院患者总人次数</m:t>
                  </m:r>
                  <m:ctrlPr>
                    <w:rPr>
                      <w:rFonts w:hint="default" w:ascii="DejaVu Math TeX Gyre" w:hAnsi="DejaVu Math TeX Gyre" w:eastAsia="宋体" w:cs="Times New Roman"/>
                      <w:iCs/>
                      <w:color w:val="auto"/>
                      <w:sz w:val="30"/>
                      <w:szCs w:val="30"/>
                    </w:rPr>
                  </m:ctrlPr>
                </m:den>
              </m:f>
            </m:oMath>
            <w:r>
              <w:rPr>
                <w:rFonts w:hint="default" w:ascii="Times New Roman" w:hAnsi="Times New Roman" w:eastAsia="宋体" w:cs="Times New Roman"/>
                <w:color w:val="auto"/>
                <w:szCs w:val="21"/>
              </w:rPr>
              <w:t>×100%</w:t>
            </w:r>
          </w:p>
        </w:tc>
      </w:tr>
      <w:tr w14:paraId="3DE4E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6" w:hRule="atLeast"/>
        </w:trPr>
        <w:tc>
          <w:tcPr>
            <w:tcW w:w="685" w:type="dxa"/>
            <w:vAlign w:val="center"/>
          </w:tcPr>
          <w:p w14:paraId="66959FE0">
            <w:pPr>
              <w:widowControl/>
              <w:jc w:val="center"/>
              <w:textAlignment w:val="center"/>
              <w:rPr>
                <w:rFonts w:hint="default" w:ascii="Times New Roman" w:hAnsi="Times New Roman" w:cs="Times New Roman" w:eastAsiaTheme="minorEastAsia"/>
                <w:color w:val="auto"/>
                <w:sz w:val="21"/>
                <w:szCs w:val="21"/>
                <w:lang w:val="en-US" w:eastAsia="zh-CN" w:bidi="ar-SA"/>
              </w:rPr>
            </w:pPr>
            <w:r>
              <w:rPr>
                <w:rFonts w:hint="default" w:ascii="Times New Roman" w:hAnsi="Times New Roman" w:cs="Times New Roman" w:eastAsiaTheme="minorEastAsia"/>
                <w:color w:val="auto"/>
                <w:sz w:val="21"/>
                <w:szCs w:val="21"/>
                <w:lang w:eastAsia="zh-CN"/>
              </w:rPr>
              <w:t>6</w:t>
            </w:r>
          </w:p>
        </w:tc>
        <w:tc>
          <w:tcPr>
            <w:tcW w:w="1603" w:type="dxa"/>
            <w:vAlign w:val="center"/>
          </w:tcPr>
          <w:p w14:paraId="60198C99">
            <w:pPr>
              <w:rPr>
                <w:rFonts w:hint="default" w:ascii="Times New Roman" w:hAnsi="Times New Roman" w:eastAsia="宋体" w:cs="Times New Roman"/>
                <w:color w:val="auto"/>
                <w:szCs w:val="21"/>
                <w:lang w:val="zh-CN"/>
              </w:rPr>
            </w:pPr>
            <w:r>
              <w:rPr>
                <w:rFonts w:hint="default" w:ascii="Times New Roman" w:hAnsi="Times New Roman" w:cs="Times New Roman"/>
                <w:color w:val="auto"/>
                <w:szCs w:val="21"/>
                <w:lang w:eastAsia="zh-CN"/>
              </w:rPr>
              <w:t>住院患者抗菌药物使用情况</w:t>
            </w:r>
          </w:p>
        </w:tc>
        <w:tc>
          <w:tcPr>
            <w:tcW w:w="6976" w:type="dxa"/>
            <w:vAlign w:val="center"/>
          </w:tcPr>
          <w:p w14:paraId="53B4EBC1">
            <w:pPr>
              <w:pStyle w:val="37"/>
              <w:snapToGrid w:val="0"/>
              <w:ind w:left="110" w:leftChars="50"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1.住院患者抗菌药物使用率</w:t>
            </w:r>
          </w:p>
          <w:p w14:paraId="5C23EA80">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Cs/>
                      <w:color w:val="auto"/>
                      <w:sz w:val="30"/>
                      <w:szCs w:val="30"/>
                    </w:rPr>
                  </m:ctrlPr>
                </m:fPr>
                <m:num>
                  <m:r>
                    <m:rPr>
                      <m:sty m:val="p"/>
                    </m:rPr>
                    <w:rPr>
                      <w:rFonts w:hint="default" w:ascii="DejaVu Math TeX Gyre" w:hAnsi="DejaVu Math TeX Gyre" w:eastAsia="宋体" w:cs="Times New Roman"/>
                      <w:color w:val="auto"/>
                      <w:sz w:val="30"/>
                      <w:szCs w:val="30"/>
                      <w:lang w:eastAsia="zh-CN"/>
                    </w:rPr>
                    <m:t>使用抗菌药物的住院患者人次数</m:t>
                  </m:r>
                  <m:ctrlPr>
                    <w:rPr>
                      <w:rFonts w:hint="default" w:ascii="DejaVu Math TeX Gyre" w:hAnsi="DejaVu Math TeX Gyre" w:eastAsia="宋体" w:cs="Times New Roman"/>
                      <w:iCs/>
                      <w:color w:val="auto"/>
                      <w:sz w:val="30"/>
                      <w:szCs w:val="30"/>
                    </w:rPr>
                  </m:ctrlPr>
                </m:num>
                <m:den>
                  <m:r>
                    <m:rPr>
                      <m:sty m:val="p"/>
                    </m:rPr>
                    <w:rPr>
                      <w:rFonts w:hint="default" w:ascii="DejaVu Math TeX Gyre" w:hAnsi="DejaVu Math TeX Gyre" w:eastAsia="宋体" w:cs="Times New Roman"/>
                      <w:color w:val="auto"/>
                      <w:sz w:val="30"/>
                      <w:szCs w:val="30"/>
                      <w:lang w:eastAsia="zh-CN"/>
                    </w:rPr>
                    <m:t>同期住院患者总人次数</m:t>
                  </m:r>
                  <m:ctrlPr>
                    <w:rPr>
                      <w:rFonts w:hint="default" w:ascii="DejaVu Math TeX Gyre" w:hAnsi="DejaVu Math TeX Gyre" w:eastAsia="宋体" w:cs="Times New Roman"/>
                      <w:iCs/>
                      <w:color w:val="auto"/>
                      <w:sz w:val="30"/>
                      <w:szCs w:val="30"/>
                    </w:rPr>
                  </m:ctrlPr>
                </m:den>
              </m:f>
            </m:oMath>
            <w:r>
              <w:rPr>
                <w:rFonts w:hint="default" w:ascii="Times New Roman" w:hAnsi="Times New Roman" w:eastAsia="宋体" w:cs="Times New Roman"/>
                <w:color w:val="auto"/>
                <w:szCs w:val="21"/>
              </w:rPr>
              <w:t>×100%</w:t>
            </w:r>
          </w:p>
          <w:p w14:paraId="2CD2DBE1">
            <w:pPr>
              <w:pStyle w:val="37"/>
              <w:snapToGrid w:val="0"/>
              <w:ind w:left="110" w:leftChars="50" w:right="110" w:rightChars="50"/>
              <w:rPr>
                <w:rFonts w:hint="default" w:ascii="Times New Roman" w:hAnsi="Times New Roman" w:eastAsia="宋体" w:cs="Times New Roman"/>
                <w:color w:val="auto"/>
                <w:szCs w:val="21"/>
                <w:lang w:eastAsia="zh-CN"/>
              </w:rPr>
            </w:pPr>
            <w:r>
              <w:rPr>
                <w:rFonts w:hint="eastAsia" w:ascii="Times New Roman" w:hAnsi="Times New Roman" w:eastAsia="宋体" w:cs="Times New Roman"/>
                <w:color w:val="auto"/>
                <w:szCs w:val="21"/>
                <w:lang w:val="en-US" w:eastAsia="zh-CN"/>
              </w:rPr>
              <w:t>2.</w:t>
            </w:r>
            <w:r>
              <w:rPr>
                <w:rFonts w:hint="default" w:ascii="Times New Roman" w:hAnsi="Times New Roman" w:eastAsia="宋体" w:cs="Times New Roman"/>
                <w:color w:val="auto"/>
                <w:szCs w:val="21"/>
                <w:lang w:eastAsia="zh-CN"/>
              </w:rPr>
              <w:t>住院患者抗菌药物使用强度（DDDs）</w:t>
            </w:r>
          </w:p>
          <w:p w14:paraId="16385292">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
                      <w:color w:val="auto"/>
                      <w:sz w:val="30"/>
                      <w:szCs w:val="30"/>
                    </w:rPr>
                  </m:ctrlPr>
                </m:fPr>
                <m:num>
                  <m:eqArr>
                    <m:eqArrPr>
                      <m:ctrlPr>
                        <w:rPr>
                          <w:rFonts w:hint="default" w:ascii="DejaVu Math TeX Gyre" w:hAnsi="DejaVu Math TeX Gyre" w:eastAsia="宋体" w:cs="Times New Roman"/>
                          <w:color w:val="auto"/>
                          <w:sz w:val="30"/>
                          <w:szCs w:val="30"/>
                        </w:rPr>
                      </m:ctrlPr>
                    </m:eqArrPr>
                    <m:e>
                      <m:r>
                        <m:rPr>
                          <m:sty m:val="p"/>
                        </m:rPr>
                        <w:rPr>
                          <w:rFonts w:hint="default" w:ascii="DejaVu Math TeX Gyre" w:hAnsi="DejaVu Math TeX Gyre" w:eastAsia="宋体" w:cs="Times New Roman"/>
                          <w:color w:val="auto"/>
                          <w:sz w:val="30"/>
                          <w:szCs w:val="30"/>
                          <w:lang w:eastAsia="zh-CN"/>
                        </w:rPr>
                        <m:t>住院患者抗菌药物实际消耗量（累计DDD数）</m:t>
                      </m:r>
                      <m:ctrlPr>
                        <w:rPr>
                          <w:rFonts w:hint="default" w:ascii="DejaVu Math TeX Gyre" w:hAnsi="DejaVu Math TeX Gyre" w:eastAsia="宋体" w:cs="Times New Roman"/>
                          <w:color w:val="auto"/>
                          <w:sz w:val="30"/>
                          <w:szCs w:val="30"/>
                        </w:rPr>
                      </m:ctrlPr>
                    </m:e>
                  </m:eqAr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同期住院患者实际占用总床日数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rPr>
              <w:t>×100%</w:t>
            </w:r>
          </w:p>
          <w:p w14:paraId="1AA86036">
            <w:pPr>
              <w:pStyle w:val="37"/>
              <w:snapToGrid w:val="0"/>
              <w:ind w:left="110" w:leftChars="50" w:right="110" w:rightChars="50"/>
              <w:rPr>
                <w:rFonts w:hint="default" w:ascii="Times New Roman" w:hAnsi="Times New Roman" w:eastAsia="宋体" w:cs="Times New Roman"/>
                <w:color w:val="auto"/>
                <w:szCs w:val="21"/>
                <w:lang w:eastAsia="zh-CN"/>
              </w:rPr>
            </w:pPr>
            <w:r>
              <w:rPr>
                <w:rFonts w:hint="default" w:ascii="Times New Roman" w:hAnsi="Times New Roman" w:eastAsia="宋体" w:cs="Times New Roman"/>
                <w:color w:val="auto"/>
                <w:szCs w:val="21"/>
                <w:lang w:eastAsia="zh-CN"/>
              </w:rPr>
              <w:t>3.住院患者特殊使用级抗菌药物使用强度（DDDs）</w:t>
            </w:r>
          </w:p>
          <w:p w14:paraId="065C9EC3">
            <w:pPr>
              <w:pStyle w:val="37"/>
              <w:snapToGrid w:val="0"/>
              <w:ind w:left="110" w:leftChars="50" w:right="110" w:rightChars="50"/>
              <w:rPr>
                <w:rFonts w:hint="default" w:ascii="DejaVu Math TeX Gyre" w:hAnsi="DejaVu Math TeX Gyre" w:eastAsia="宋体" w:cs="Times New Roman"/>
                <w:color w:val="auto"/>
                <w:sz w:val="30"/>
                <w:szCs w:val="30"/>
                <w:lang w:eastAsia="zh-CN"/>
                <w:oMath/>
              </w:rPr>
            </w:pPr>
            <m:oMath>
              <m:f>
                <m:fPr>
                  <m:ctrlPr>
                    <w:rPr>
                      <w:rFonts w:hint="default" w:ascii="DejaVu Math TeX Gyre" w:hAnsi="DejaVu Math TeX Gyre" w:eastAsia="宋体" w:cs="Times New Roman"/>
                      <w:i/>
                      <w:color w:val="auto"/>
                      <w:sz w:val="30"/>
                      <w:szCs w:val="30"/>
                    </w:rPr>
                  </m:ctrlPr>
                </m:fPr>
                <m:num>
                  <m:eqArr>
                    <m:eqArrPr>
                      <m:ctrlPr>
                        <w:rPr>
                          <w:rFonts w:hint="default" w:ascii="DejaVu Math TeX Gyre" w:hAnsi="DejaVu Math TeX Gyre" w:eastAsia="宋体" w:cs="Times New Roman"/>
                          <w:color w:val="auto"/>
                          <w:sz w:val="30"/>
                          <w:szCs w:val="30"/>
                        </w:rPr>
                      </m:ctrlPr>
                    </m:eqArrPr>
                    <m:e>
                      <m:r>
                        <m:rPr>
                          <m:sty m:val="p"/>
                        </m:rPr>
                        <w:rPr>
                          <w:rFonts w:hint="default" w:ascii="DejaVu Math TeX Gyre" w:hAnsi="DejaVu Math TeX Gyre" w:eastAsia="宋体" w:cs="Times New Roman"/>
                          <w:color w:val="auto"/>
                          <w:sz w:val="30"/>
                          <w:szCs w:val="30"/>
                          <w:lang w:eastAsia="zh-CN"/>
                        </w:rPr>
                        <m:t>住院患者特殊使用级抗菌药物</m:t>
                      </m:r>
                      <m:ctrlPr>
                        <w:rPr>
                          <w:rFonts w:hint="default" w:ascii="DejaVu Math TeX Gyre" w:hAnsi="DejaVu Math TeX Gyre" w:eastAsia="宋体" w:cs="Times New Roman"/>
                          <w:color w:val="auto"/>
                          <w:sz w:val="30"/>
                          <w:szCs w:val="30"/>
                          <w:lang w:eastAsia="zh-CN"/>
                        </w:rPr>
                      </m:ctrlPr>
                    </m:e>
                    <m:e>
                      <m:r>
                        <m:rPr>
                          <m:sty m:val="p"/>
                        </m:rPr>
                        <w:rPr>
                          <w:rFonts w:hint="default" w:ascii="DejaVu Math TeX Gyre" w:hAnsi="DejaVu Math TeX Gyre" w:eastAsia="宋体" w:cs="Times New Roman"/>
                          <w:color w:val="auto"/>
                          <w:sz w:val="30"/>
                          <w:szCs w:val="30"/>
                          <w:lang w:eastAsia="zh-CN"/>
                        </w:rPr>
                        <m:t>实际消耗量（累计DDD数）</m:t>
                      </m:r>
                      <m:ctrlPr>
                        <w:rPr>
                          <w:rFonts w:hint="default" w:ascii="DejaVu Math TeX Gyre" w:hAnsi="DejaVu Math TeX Gyre" w:eastAsia="宋体" w:cs="Times New Roman"/>
                          <w:color w:val="auto"/>
                          <w:sz w:val="30"/>
                          <w:szCs w:val="30"/>
                        </w:rPr>
                      </m:ctrlPr>
                    </m:e>
                  </m:eqAr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同期住院患者实际占用总床日数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rPr>
              <w:t>×100%</w:t>
            </w:r>
          </w:p>
        </w:tc>
      </w:tr>
      <w:tr w14:paraId="7BDD2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627B534">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7</w:t>
            </w:r>
          </w:p>
        </w:tc>
        <w:tc>
          <w:tcPr>
            <w:tcW w:w="1603" w:type="dxa"/>
            <w:vAlign w:val="center"/>
          </w:tcPr>
          <w:p w14:paraId="2BB8DC93">
            <w:pPr>
              <w:pStyle w:val="37"/>
              <w:snapToGrid w:val="0"/>
              <w:ind w:left="110" w:leftChars="50" w:right="110" w:rightChars="50"/>
              <w:rPr>
                <w:rFonts w:hint="default" w:ascii="Times New Roman" w:hAnsi="Times New Roman" w:cs="Times New Roman"/>
                <w:color w:val="auto"/>
                <w:szCs w:val="21"/>
                <w:lang w:eastAsia="zh-CN"/>
              </w:rPr>
            </w:pPr>
            <w:r>
              <w:rPr>
                <w:rFonts w:hint="default" w:ascii="Times New Roman" w:hAnsi="Times New Roman" w:eastAsia="宋体" w:cs="Times New Roman"/>
                <w:color w:val="auto"/>
                <w:szCs w:val="21"/>
                <w:lang w:val="zh-CN" w:eastAsia="zh-CN"/>
              </w:rPr>
              <w:t>严重或新的药品不良反应上报</w:t>
            </w:r>
            <w:r>
              <w:rPr>
                <w:rFonts w:hint="default" w:ascii="Times New Roman" w:hAnsi="Times New Roman" w:eastAsia="宋体" w:cs="Times New Roman"/>
                <w:color w:val="auto"/>
                <w:szCs w:val="21"/>
                <w:lang w:eastAsia="zh-CN"/>
              </w:rPr>
              <w:t>比例</w:t>
            </w:r>
          </w:p>
        </w:tc>
        <w:tc>
          <w:tcPr>
            <w:tcW w:w="6976" w:type="dxa"/>
            <w:vAlign w:val="center"/>
          </w:tcPr>
          <w:p w14:paraId="7CE66914">
            <w:pPr>
              <w:pStyle w:val="37"/>
              <w:snapToGrid w:val="0"/>
              <w:ind w:left="110" w:leftChars="50" w:right="110" w:rightChars="50"/>
              <w:rPr>
                <w:rFonts w:hint="default" w:ascii="Times New Roman" w:hAnsi="Times New Roman" w:eastAsia="宋体" w:cs="Times New Roman"/>
                <w:color w:val="auto"/>
                <w:szCs w:val="21"/>
              </w:rPr>
            </w:pPr>
            <m:oMath>
              <m:f>
                <m:fPr>
                  <m:ctrlPr>
                    <w:rPr>
                      <w:rFonts w:hint="default" w:ascii="DejaVu Math TeX Gyre" w:hAnsi="DejaVu Math TeX Gyre" w:eastAsia="宋体" w:cs="Times New Roman"/>
                      <w:i/>
                      <w:color w:val="auto"/>
                      <w:sz w:val="30"/>
                      <w:szCs w:val="30"/>
                    </w:rPr>
                  </m:ctrlPr>
                </m:fPr>
                <m:num>
                  <m:r>
                    <m:rPr>
                      <m:sty m:val="p"/>
                    </m:rPr>
                    <w:rPr>
                      <w:rFonts w:hint="default" w:ascii="DejaVu Math TeX Gyre" w:hAnsi="DejaVu Math TeX Gyre" w:eastAsia="宋体" w:cs="Times New Roman"/>
                      <w:color w:val="auto"/>
                      <w:sz w:val="30"/>
                      <w:szCs w:val="30"/>
                      <w:lang w:eastAsia="zh-CN"/>
                    </w:rPr>
                    <m:t>严重或新的药品不良反应上报例数</m:t>
                  </m: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同期上报药品不良反应总例数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rPr>
              <w:t>×100%</w:t>
            </w:r>
          </w:p>
          <w:p w14:paraId="008A0800">
            <w:pPr>
              <w:pStyle w:val="37"/>
              <w:snapToGrid w:val="0"/>
              <w:ind w:left="110" w:leftChars="50" w:right="110" w:rightChars="50"/>
              <w:rPr>
                <w:rFonts w:hint="default" w:ascii="DejaVu Math TeX Gyre" w:hAnsi="DejaVu Math TeX Gyre" w:eastAsia="宋体" w:cs="Times New Roman"/>
                <w:color w:val="auto"/>
                <w:sz w:val="30"/>
                <w:szCs w:val="30"/>
                <w:lang w:eastAsia="zh-CN"/>
                <w:oMath/>
              </w:rPr>
            </w:pPr>
          </w:p>
        </w:tc>
      </w:tr>
      <w:tr w14:paraId="4B041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dxa"/>
            <w:vAlign w:val="center"/>
          </w:tcPr>
          <w:p w14:paraId="76AEBE93">
            <w:pPr>
              <w:widowControl/>
              <w:numPr>
                <w:ilvl w:val="0"/>
                <w:numId w:val="0"/>
              </w:numPr>
              <w:ind w:leftChars="0"/>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8</w:t>
            </w:r>
          </w:p>
        </w:tc>
        <w:tc>
          <w:tcPr>
            <w:tcW w:w="1603" w:type="dxa"/>
            <w:vAlign w:val="center"/>
          </w:tcPr>
          <w:p w14:paraId="235D6405">
            <w:pPr>
              <w:pStyle w:val="37"/>
              <w:snapToGrid w:val="0"/>
              <w:ind w:left="110" w:leftChars="50" w:right="110" w:rightChars="50"/>
              <w:rPr>
                <w:rFonts w:hint="default" w:ascii="Times New Roman" w:hAnsi="Times New Roman" w:eastAsia="宋体" w:cs="Times New Roman"/>
                <w:color w:val="auto"/>
                <w:szCs w:val="21"/>
                <w:lang w:val="zh-CN"/>
              </w:rPr>
            </w:pPr>
            <w:r>
              <w:rPr>
                <w:rFonts w:hint="default" w:ascii="Times New Roman" w:hAnsi="Times New Roman" w:eastAsia="宋体" w:cs="Times New Roman"/>
                <w:color w:val="auto"/>
                <w:szCs w:val="21"/>
              </w:rPr>
              <w:t>用药错误报告率</w:t>
            </w:r>
          </w:p>
        </w:tc>
        <w:tc>
          <w:tcPr>
            <w:tcW w:w="6976" w:type="dxa"/>
            <w:vAlign w:val="center"/>
          </w:tcPr>
          <w:p w14:paraId="3299767B">
            <w:pPr>
              <w:pStyle w:val="37"/>
              <w:snapToGrid w:val="0"/>
              <w:ind w:left="5960" w:leftChars="50" w:right="110" w:rightChars="50" w:hanging="5850" w:hangingChars="1950"/>
              <w:rPr>
                <w:rFonts w:hint="default" w:ascii="DejaVu Math TeX Gyre" w:hAnsi="DejaVu Math TeX Gyre" w:eastAsia="宋体" w:cs="Times New Roman"/>
                <w:color w:val="auto"/>
                <w:sz w:val="30"/>
                <w:szCs w:val="30"/>
                <w:lang w:eastAsia="zh-CN"/>
                <w:oMath/>
              </w:rPr>
            </w:pPr>
            <m:oMath>
              <m:f>
                <m:fPr>
                  <m:ctrlPr>
                    <w:rPr>
                      <w:rFonts w:hint="default" w:ascii="DejaVu Math TeX Gyre" w:hAnsi="DejaVu Math TeX Gyre" w:eastAsia="宋体" w:cs="Times New Roman"/>
                      <w:i/>
                      <w:color w:val="auto"/>
                      <w:sz w:val="30"/>
                      <w:szCs w:val="30"/>
                    </w:rPr>
                  </m:ctrlPr>
                </m:fPr>
                <m:num>
                  <m:eqArr>
                    <m:eqArrPr>
                      <m:ctrlPr>
                        <w:rPr>
                          <w:rFonts w:hint="default" w:ascii="DejaVu Math TeX Gyre" w:hAnsi="DejaVu Math TeX Gyre" w:eastAsia="宋体" w:cs="Times New Roman"/>
                          <w:color w:val="auto"/>
                          <w:sz w:val="30"/>
                          <w:szCs w:val="30"/>
                        </w:rPr>
                      </m:ctrlPr>
                    </m:eqArrPr>
                    <m:e>
                      <m:r>
                        <m:rPr>
                          <m:sty m:val="p"/>
                        </m:rPr>
                        <w:rPr>
                          <w:rFonts w:hint="default" w:ascii="DejaVu Math TeX Gyre" w:hAnsi="DejaVu Math TeX Gyre" w:eastAsia="宋体" w:cs="Times New Roman"/>
                          <w:color w:val="auto"/>
                          <w:sz w:val="30"/>
                          <w:szCs w:val="30"/>
                          <w:lang w:eastAsia="zh-CN"/>
                        </w:rPr>
                        <m:t>报告给医疗机构管理部门的用药错误人次数</m:t>
                      </m:r>
                      <m:ctrlPr>
                        <w:rPr>
                          <w:rFonts w:hint="default" w:ascii="DejaVu Math TeX Gyre" w:hAnsi="DejaVu Math TeX Gyre" w:eastAsia="宋体" w:cs="Times New Roman"/>
                          <w:color w:val="auto"/>
                          <w:sz w:val="30"/>
                          <w:szCs w:val="30"/>
                        </w:rPr>
                      </m:ctrlPr>
                    </m:e>
                  </m:eqArr>
                  <m:ctrlPr>
                    <w:rPr>
                      <w:rFonts w:hint="default" w:ascii="DejaVu Math TeX Gyre" w:hAnsi="DejaVu Math TeX Gyre" w:eastAsia="宋体" w:cs="Times New Roman"/>
                      <w:color w:val="auto"/>
                      <w:sz w:val="30"/>
                      <w:szCs w:val="30"/>
                    </w:rPr>
                  </m:ctrlPr>
                </m:num>
                <m:den>
                  <m:r>
                    <m:rPr>
                      <m:sty m:val="p"/>
                    </m:rPr>
                    <w:rPr>
                      <w:rFonts w:hint="default" w:ascii="DejaVu Math TeX Gyre" w:hAnsi="DejaVu Math TeX Gyre" w:eastAsia="宋体" w:cs="Times New Roman"/>
                      <w:color w:val="auto"/>
                      <w:sz w:val="30"/>
                      <w:szCs w:val="30"/>
                      <w:lang w:eastAsia="zh-CN"/>
                    </w:rPr>
                    <m:t>同期用药患者总人次数</m:t>
                  </m:r>
                  <m:ctrlPr>
                    <w:rPr>
                      <w:rFonts w:hint="default" w:ascii="DejaVu Math TeX Gyre" w:hAnsi="DejaVu Math TeX Gyre" w:eastAsia="宋体" w:cs="Times New Roman"/>
                      <w:color w:val="auto"/>
                      <w:sz w:val="30"/>
                      <w:szCs w:val="30"/>
                    </w:rPr>
                  </m:ctrlPr>
                </m:den>
              </m:f>
            </m:oMath>
            <w:r>
              <w:rPr>
                <w:rFonts w:hint="default" w:ascii="Times New Roman" w:hAnsi="Times New Roman" w:eastAsia="宋体" w:cs="Times New Roman"/>
                <w:color w:val="auto"/>
                <w:szCs w:val="21"/>
                <w:lang w:eastAsia="zh-CN"/>
              </w:rPr>
              <w:t>×100%</w:t>
            </w:r>
          </w:p>
        </w:tc>
      </w:tr>
      <w:tr w14:paraId="16547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4" w:type="dxa"/>
            <w:gridSpan w:val="3"/>
            <w:vAlign w:val="center"/>
          </w:tcPr>
          <w:p w14:paraId="7797882E">
            <w:pPr>
              <w:pStyle w:val="19"/>
              <w:tabs>
                <w:tab w:val="left" w:pos="360"/>
              </w:tabs>
              <w:ind w:firstLine="0" w:firstLineChars="0"/>
              <w:rPr>
                <w:rFonts w:hint="default" w:ascii="Times New Roman" w:hAnsi="Times New Roman" w:cs="Times New Roman" w:eastAsiaTheme="minorEastAsia"/>
                <w:b/>
                <w:color w:val="auto"/>
                <w:sz w:val="24"/>
                <w:szCs w:val="24"/>
                <w:lang w:eastAsia="zh-CN"/>
              </w:rPr>
            </w:pPr>
            <w:r>
              <w:rPr>
                <w:rFonts w:hint="default" w:ascii="Times New Roman" w:hAnsi="Times New Roman" w:cs="Times New Roman" w:eastAsiaTheme="minorEastAsia"/>
                <w:b/>
                <w:color w:val="auto"/>
                <w:sz w:val="24"/>
                <w:szCs w:val="24"/>
                <w:lang w:eastAsia="zh-CN"/>
              </w:rPr>
              <w:t>（</w:t>
            </w:r>
            <w:r>
              <w:rPr>
                <w:rFonts w:hint="eastAsia" w:ascii="Times New Roman" w:hAnsi="Times New Roman" w:cs="Times New Roman" w:eastAsiaTheme="minorEastAsia"/>
                <w:b/>
                <w:color w:val="auto"/>
                <w:sz w:val="24"/>
                <w:szCs w:val="24"/>
                <w:lang w:val="en-US" w:eastAsia="zh-CN"/>
              </w:rPr>
              <w:t>九</w:t>
            </w:r>
            <w:r>
              <w:rPr>
                <w:rFonts w:hint="default" w:ascii="Times New Roman" w:hAnsi="Times New Roman" w:cs="Times New Roman" w:eastAsiaTheme="minorEastAsia"/>
                <w:b/>
                <w:color w:val="auto"/>
                <w:sz w:val="24"/>
                <w:szCs w:val="24"/>
                <w:lang w:eastAsia="zh-CN"/>
              </w:rPr>
              <w:t>）</w:t>
            </w:r>
            <w:r>
              <w:rPr>
                <w:rStyle w:val="23"/>
                <w:rFonts w:hint="default" w:ascii="Times New Roman" w:hAnsi="Times New Roman" w:cs="Times New Roman"/>
                <w:color w:val="auto"/>
                <w:lang w:eastAsia="zh-CN" w:bidi="ar"/>
              </w:rPr>
              <w:t>★</w:t>
            </w:r>
            <w:r>
              <w:rPr>
                <w:rFonts w:hint="default" w:ascii="Times New Roman" w:hAnsi="Times New Roman" w:cs="Times New Roman" w:eastAsiaTheme="minorEastAsia"/>
                <w:b/>
                <w:color w:val="auto"/>
                <w:sz w:val="24"/>
                <w:szCs w:val="24"/>
                <w:lang w:eastAsia="zh-CN"/>
              </w:rPr>
              <w:t>系统集成对接</w:t>
            </w:r>
          </w:p>
        </w:tc>
      </w:tr>
      <w:tr w14:paraId="154F7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atLeast"/>
        </w:trPr>
        <w:tc>
          <w:tcPr>
            <w:tcW w:w="685" w:type="dxa"/>
            <w:vAlign w:val="center"/>
          </w:tcPr>
          <w:p w14:paraId="08A6AB1C">
            <w:pPr>
              <w:widowControl/>
              <w:jc w:val="center"/>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1</w:t>
            </w:r>
          </w:p>
        </w:tc>
        <w:tc>
          <w:tcPr>
            <w:tcW w:w="8579" w:type="dxa"/>
            <w:gridSpan w:val="2"/>
            <w:vAlign w:val="center"/>
          </w:tcPr>
          <w:p w14:paraId="67E9FF5F">
            <w:pPr>
              <w:pStyle w:val="19"/>
              <w:tabs>
                <w:tab w:val="left" w:pos="360"/>
              </w:tabs>
              <w:ind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1.与湖南省“三医一张网”相关平台及其他省平台进行对接或上传数据；</w:t>
            </w:r>
          </w:p>
          <w:p w14:paraId="602574FF">
            <w:pPr>
              <w:pStyle w:val="19"/>
              <w:tabs>
                <w:tab w:val="left" w:pos="360"/>
              </w:tabs>
              <w:ind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2.与相关医疗机构临床相关系统进行进行集成对接及其接口费用；</w:t>
            </w:r>
          </w:p>
          <w:p w14:paraId="434452B0">
            <w:pPr>
              <w:pStyle w:val="19"/>
              <w:tabs>
                <w:tab w:val="left" w:pos="360"/>
              </w:tabs>
              <w:ind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3.配合建设湖南省审方平台及临床用药相关平台及其接口费用。</w:t>
            </w:r>
          </w:p>
        </w:tc>
      </w:tr>
      <w:tr w14:paraId="3B741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264" w:type="dxa"/>
            <w:gridSpan w:val="3"/>
            <w:vAlign w:val="center"/>
          </w:tcPr>
          <w:p w14:paraId="3460408F">
            <w:pPr>
              <w:pStyle w:val="19"/>
              <w:tabs>
                <w:tab w:val="left" w:pos="360"/>
              </w:tabs>
              <w:ind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b/>
                <w:color w:val="auto"/>
                <w:sz w:val="24"/>
                <w:szCs w:val="24"/>
                <w:lang w:eastAsia="zh-CN"/>
              </w:rPr>
              <w:t>（十）</w:t>
            </w:r>
            <w:r>
              <w:rPr>
                <w:rStyle w:val="23"/>
                <w:rFonts w:hint="default" w:ascii="Times New Roman" w:hAnsi="Times New Roman" w:cs="Times New Roman"/>
                <w:color w:val="auto"/>
                <w:lang w:eastAsia="zh-CN" w:bidi="ar"/>
              </w:rPr>
              <w:t>★</w:t>
            </w:r>
            <w:r>
              <w:rPr>
                <w:rFonts w:hint="default" w:ascii="Times New Roman" w:hAnsi="Times New Roman" w:cs="Times New Roman" w:eastAsiaTheme="minorEastAsia"/>
                <w:b/>
                <w:color w:val="auto"/>
                <w:sz w:val="24"/>
                <w:szCs w:val="24"/>
                <w:lang w:eastAsia="zh-CN"/>
              </w:rPr>
              <w:t>实施和维护要求</w:t>
            </w:r>
          </w:p>
        </w:tc>
      </w:tr>
      <w:tr w14:paraId="6A7CB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atLeast"/>
        </w:trPr>
        <w:tc>
          <w:tcPr>
            <w:tcW w:w="685" w:type="dxa"/>
            <w:vAlign w:val="center"/>
          </w:tcPr>
          <w:p w14:paraId="1071E624">
            <w:pPr>
              <w:widowControl/>
              <w:jc w:val="center"/>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1</w:t>
            </w:r>
          </w:p>
        </w:tc>
        <w:tc>
          <w:tcPr>
            <w:tcW w:w="8579" w:type="dxa"/>
            <w:gridSpan w:val="2"/>
            <w:vAlign w:val="center"/>
          </w:tcPr>
          <w:p w14:paraId="3CB53E19">
            <w:pPr>
              <w:pStyle w:val="19"/>
              <w:tabs>
                <w:tab w:val="left" w:pos="360"/>
              </w:tabs>
              <w:ind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1、实施周期60日历日完成，实施周期要求不少于3人不少于15个日历日的蹲点建设、实施和培训。</w:t>
            </w:r>
          </w:p>
          <w:p w14:paraId="1865FA79">
            <w:pPr>
              <w:pStyle w:val="19"/>
              <w:tabs>
                <w:tab w:val="left" w:pos="360"/>
              </w:tabs>
              <w:ind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2、包含免费维护期三年，维护期内负责医院或区域新需求的完善、知识库的维护、每年不少于两次，每次不低于三个工作日的上门培训和维保。</w:t>
            </w:r>
          </w:p>
          <w:p w14:paraId="0B80D87F">
            <w:pPr>
              <w:pStyle w:val="19"/>
              <w:tabs>
                <w:tab w:val="left" w:pos="360"/>
              </w:tabs>
              <w:ind w:firstLine="0" w:firstLineChars="0"/>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3、建议合同签署包含不少于合同价的10%的履约保证金，其中5%维保期1年支付，5%维保期到期3年支付。</w:t>
            </w:r>
          </w:p>
          <w:p w14:paraId="4A8B8D5D">
            <w:pP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4、</w:t>
            </w:r>
            <w:r>
              <w:rPr>
                <w:rStyle w:val="23"/>
                <w:rFonts w:hint="default" w:ascii="Times New Roman" w:hAnsi="Times New Roman" w:cs="Times New Roman"/>
                <w:color w:val="auto"/>
                <w:lang w:val="en-US" w:eastAsia="zh-CN" w:bidi="ar"/>
              </w:rPr>
              <w:t>建设完成后，</w:t>
            </w:r>
            <w:r>
              <w:rPr>
                <w:rStyle w:val="23"/>
                <w:rFonts w:hint="default" w:ascii="Times New Roman" w:hAnsi="Times New Roman" w:eastAsia="宋体" w:cs="Times New Roman"/>
                <w:color w:val="auto"/>
                <w:lang w:val="en-US" w:eastAsia="zh-CN" w:bidi="ar"/>
              </w:rPr>
              <w:t>县域集中审方中心</w:t>
            </w:r>
            <w:r>
              <w:rPr>
                <w:rStyle w:val="23"/>
                <w:rFonts w:hint="default" w:ascii="Times New Roman" w:hAnsi="Times New Roman" w:cs="Times New Roman"/>
                <w:color w:val="auto"/>
                <w:lang w:val="en-US" w:eastAsia="zh-CN" w:bidi="ar"/>
              </w:rPr>
              <w:t>统一悬挂“XXX集中审方中心”标识；中心药房统一悬挂“XXX中心药房”标识。</w:t>
            </w:r>
          </w:p>
        </w:tc>
      </w:tr>
    </w:tbl>
    <w:p w14:paraId="746D8F3D">
      <w:pPr>
        <w:rPr>
          <w:rStyle w:val="23"/>
          <w:color w:val="auto"/>
          <w:lang w:eastAsia="zh-CN" w:bidi="ar"/>
        </w:rPr>
      </w:pPr>
      <w:r>
        <w:rPr>
          <w:rStyle w:val="23"/>
          <w:color w:val="auto"/>
          <w:lang w:eastAsia="zh-CN" w:bidi="ar"/>
        </w:rPr>
        <w:t>备注：</w:t>
      </w:r>
      <w:r>
        <w:rPr>
          <w:rStyle w:val="23"/>
          <w:rFonts w:hint="default"/>
          <w:color w:val="auto"/>
          <w:lang w:eastAsia="zh-CN" w:bidi="ar"/>
        </w:rPr>
        <w:t>★</w:t>
      </w:r>
      <w:r>
        <w:rPr>
          <w:rStyle w:val="23"/>
          <w:color w:val="auto"/>
          <w:lang w:eastAsia="zh-CN" w:bidi="ar"/>
        </w:rPr>
        <w:t>为必须满足的基本功能要求。</w:t>
      </w:r>
    </w:p>
    <w:p w14:paraId="120FBCA3">
      <w:pPr>
        <w:rPr>
          <w:rStyle w:val="23"/>
          <w:color w:val="auto"/>
          <w:lang w:eastAsia="zh-CN" w:bidi="ar"/>
        </w:rPr>
      </w:pPr>
    </w:p>
    <w:p w14:paraId="6ADCDA5C">
      <w:pPr>
        <w:rPr>
          <w:rStyle w:val="23"/>
          <w:rFonts w:hint="default"/>
          <w:lang w:val="en-US" w:eastAsia="zh-CN" w:bidi="ar"/>
        </w:rPr>
      </w:pPr>
      <w:r>
        <w:rPr>
          <w:rStyle w:val="23"/>
          <w:rFonts w:hint="eastAsia"/>
          <w:color w:val="auto"/>
          <w:lang w:val="en-US" w:eastAsia="zh-CN" w:bidi="ar"/>
        </w:rPr>
        <w:t xml:space="preserve">   </w:t>
      </w:r>
      <w:bookmarkEnd w:id="7"/>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Helvetica">
    <w:altName w:val="Arial"/>
    <w:panose1 w:val="020B0604020202020204"/>
    <w:charset w:val="00"/>
    <w:family w:val="swiss"/>
    <w:pitch w:val="default"/>
    <w:sig w:usb0="00000000" w:usb1="00000000" w:usb2="00000000" w:usb3="00000000" w:csb0="00000001" w:csb1="00000000"/>
  </w:font>
  <w:font w:name="原版宋体">
    <w:altName w:val="宋体"/>
    <w:panose1 w:val="02010600030101010101"/>
    <w:charset w:val="86"/>
    <w:family w:val="auto"/>
    <w:pitch w:val="default"/>
    <w:sig w:usb0="00000000" w:usb1="00000000" w:usb2="00000000" w:usb3="00000000" w:csb0="00040001" w:csb1="00000000"/>
  </w:font>
  <w:font w:name="方正小标宋简体">
    <w:altName w:val="黑体"/>
    <w:panose1 w:val="02010601030101010101"/>
    <w:charset w:val="86"/>
    <w:family w:val="script"/>
    <w:pitch w:val="default"/>
    <w:sig w:usb0="00000000" w:usb1="00000000" w:usb2="00000000" w:usb3="00000000" w:csb0="00040000" w:csb1="00000000"/>
  </w:font>
  <w:font w:name="DejaVu Math TeX Gyre">
    <w:panose1 w:val="02000503000000000000"/>
    <w:charset w:val="00"/>
    <w:family w:val="auto"/>
    <w:pitch w:val="default"/>
    <w:sig w:usb0="A10000EF" w:usb1="4201F9EE" w:usb2="02000000" w:usb3="00000000" w:csb0="60000193" w:csb1="0DD4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342A60">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639FF9">
                          <w:pPr>
                            <w:pStyle w:val="11"/>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9639FF9">
                    <w:pPr>
                      <w:pStyle w:val="11"/>
                      <w:rPr>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t xml:space="preserve">— </w:t>
                    </w:r>
                    <w:r>
                      <w:rPr>
                        <w:rFonts w:hint="eastAsia" w:asciiTheme="majorEastAsia" w:hAnsiTheme="majorEastAsia" w:eastAsiaTheme="majorEastAsia" w:cstheme="majorEastAsia"/>
                        <w:sz w:val="28"/>
                        <w:szCs w:val="28"/>
                      </w:rPr>
                      <w:fldChar w:fldCharType="begin"/>
                    </w:r>
                    <w:r>
                      <w:rPr>
                        <w:rFonts w:hint="eastAsia" w:asciiTheme="majorEastAsia" w:hAnsiTheme="majorEastAsia" w:eastAsiaTheme="majorEastAsia" w:cstheme="majorEastAsia"/>
                        <w:sz w:val="28"/>
                        <w:szCs w:val="28"/>
                      </w:rPr>
                      <w:instrText xml:space="preserve"> PAGE  \* MERGEFORMAT </w:instrText>
                    </w:r>
                    <w:r>
                      <w:rPr>
                        <w:rFonts w:hint="eastAsia" w:asciiTheme="majorEastAsia" w:hAnsiTheme="majorEastAsia" w:eastAsiaTheme="majorEastAsia" w:cstheme="majorEastAsia"/>
                        <w:sz w:val="28"/>
                        <w:szCs w:val="28"/>
                      </w:rPr>
                      <w:fldChar w:fldCharType="separate"/>
                    </w:r>
                    <w:r>
                      <w:rPr>
                        <w:rFonts w:hint="eastAsia" w:asciiTheme="majorEastAsia" w:hAnsiTheme="majorEastAsia" w:eastAsiaTheme="majorEastAsia" w:cstheme="majorEastAsia"/>
                        <w:sz w:val="28"/>
                        <w:szCs w:val="28"/>
                      </w:rPr>
                      <w:t>1</w:t>
                    </w:r>
                    <w:r>
                      <w:rPr>
                        <w:rFonts w:hint="eastAsia" w:asciiTheme="majorEastAsia" w:hAnsiTheme="majorEastAsia" w:eastAsiaTheme="majorEastAsia" w:cstheme="majorEastAsia"/>
                        <w:sz w:val="28"/>
                        <w:szCs w:val="28"/>
                      </w:rPr>
                      <w:fldChar w:fldCharType="end"/>
                    </w:r>
                    <w:r>
                      <w:rPr>
                        <w:rFonts w:hint="eastAsia" w:asciiTheme="majorEastAsia" w:hAnsiTheme="majorEastAsia" w:eastAsiaTheme="majorEastAsia" w:cstheme="maj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852D9A"/>
    <w:multiLevelType w:val="multilevel"/>
    <w:tmpl w:val="00852D9A"/>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1">
    <w:nsid w:val="0EFD3E11"/>
    <w:multiLevelType w:val="multilevel"/>
    <w:tmpl w:val="0EFD3E1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2">
    <w:nsid w:val="129511D9"/>
    <w:multiLevelType w:val="multilevel"/>
    <w:tmpl w:val="129511D9"/>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1DD65739"/>
    <w:multiLevelType w:val="multilevel"/>
    <w:tmpl w:val="1DD65739"/>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6571593"/>
    <w:multiLevelType w:val="multilevel"/>
    <w:tmpl w:val="26571593"/>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2FB447BA"/>
    <w:multiLevelType w:val="multilevel"/>
    <w:tmpl w:val="2FB447BA"/>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6">
    <w:nsid w:val="44193F29"/>
    <w:multiLevelType w:val="multilevel"/>
    <w:tmpl w:val="44193F29"/>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7">
    <w:nsid w:val="47664BBF"/>
    <w:multiLevelType w:val="multilevel"/>
    <w:tmpl w:val="47664BBF"/>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8">
    <w:nsid w:val="67015243"/>
    <w:multiLevelType w:val="multilevel"/>
    <w:tmpl w:val="67015243"/>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9">
    <w:nsid w:val="714242B7"/>
    <w:multiLevelType w:val="multilevel"/>
    <w:tmpl w:val="714242B7"/>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9"/>
  </w:num>
  <w:num w:numId="3">
    <w:abstractNumId w:val="6"/>
  </w:num>
  <w:num w:numId="4">
    <w:abstractNumId w:val="5"/>
  </w:num>
  <w:num w:numId="5">
    <w:abstractNumId w:val="1"/>
  </w:num>
  <w:num w:numId="6">
    <w:abstractNumId w:val="2"/>
  </w:num>
  <w:num w:numId="7">
    <w:abstractNumId w:val="8"/>
  </w:num>
  <w:num w:numId="8">
    <w:abstractNumId w:val="7"/>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200"/>
    <w:rsid w:val="0002248A"/>
    <w:rsid w:val="00024369"/>
    <w:rsid w:val="0002541E"/>
    <w:rsid w:val="000665DF"/>
    <w:rsid w:val="00081FFB"/>
    <w:rsid w:val="000A063B"/>
    <w:rsid w:val="001604C0"/>
    <w:rsid w:val="00174FBA"/>
    <w:rsid w:val="001851CE"/>
    <w:rsid w:val="001A038B"/>
    <w:rsid w:val="001B772B"/>
    <w:rsid w:val="001C5FB0"/>
    <w:rsid w:val="001C6644"/>
    <w:rsid w:val="00243768"/>
    <w:rsid w:val="00256E57"/>
    <w:rsid w:val="00271F58"/>
    <w:rsid w:val="00291A28"/>
    <w:rsid w:val="00295D34"/>
    <w:rsid w:val="002A7BB5"/>
    <w:rsid w:val="002B0A07"/>
    <w:rsid w:val="00332858"/>
    <w:rsid w:val="00367BC8"/>
    <w:rsid w:val="003725C4"/>
    <w:rsid w:val="00381940"/>
    <w:rsid w:val="003D341F"/>
    <w:rsid w:val="003D6656"/>
    <w:rsid w:val="004275DB"/>
    <w:rsid w:val="004310D4"/>
    <w:rsid w:val="0044510C"/>
    <w:rsid w:val="0045731E"/>
    <w:rsid w:val="0046257E"/>
    <w:rsid w:val="004A2823"/>
    <w:rsid w:val="00502456"/>
    <w:rsid w:val="00551248"/>
    <w:rsid w:val="0056236C"/>
    <w:rsid w:val="00564658"/>
    <w:rsid w:val="006066B5"/>
    <w:rsid w:val="0064165A"/>
    <w:rsid w:val="0065155E"/>
    <w:rsid w:val="006720DA"/>
    <w:rsid w:val="006C0439"/>
    <w:rsid w:val="006D38C3"/>
    <w:rsid w:val="00732882"/>
    <w:rsid w:val="007569F6"/>
    <w:rsid w:val="007655FE"/>
    <w:rsid w:val="0078554D"/>
    <w:rsid w:val="00793AE3"/>
    <w:rsid w:val="008972B6"/>
    <w:rsid w:val="008B7D2B"/>
    <w:rsid w:val="008C5647"/>
    <w:rsid w:val="008D0200"/>
    <w:rsid w:val="00947357"/>
    <w:rsid w:val="00964826"/>
    <w:rsid w:val="009B0950"/>
    <w:rsid w:val="00A36B6A"/>
    <w:rsid w:val="00A4522D"/>
    <w:rsid w:val="00A953D9"/>
    <w:rsid w:val="00B06643"/>
    <w:rsid w:val="00B411E2"/>
    <w:rsid w:val="00B803BC"/>
    <w:rsid w:val="00BA10DF"/>
    <w:rsid w:val="00BE52D6"/>
    <w:rsid w:val="00BE6EE8"/>
    <w:rsid w:val="00C074F8"/>
    <w:rsid w:val="00C663D3"/>
    <w:rsid w:val="00CF3F78"/>
    <w:rsid w:val="00D05423"/>
    <w:rsid w:val="00D24A77"/>
    <w:rsid w:val="00D72560"/>
    <w:rsid w:val="00DF71EC"/>
    <w:rsid w:val="00F47FD4"/>
    <w:rsid w:val="00F6275B"/>
    <w:rsid w:val="00F9485B"/>
    <w:rsid w:val="00FD3121"/>
    <w:rsid w:val="00FE3919"/>
    <w:rsid w:val="00FF5FE8"/>
    <w:rsid w:val="016250DC"/>
    <w:rsid w:val="02512CDC"/>
    <w:rsid w:val="048A1780"/>
    <w:rsid w:val="05C018BB"/>
    <w:rsid w:val="05CB1593"/>
    <w:rsid w:val="06096F20"/>
    <w:rsid w:val="061A7487"/>
    <w:rsid w:val="06566711"/>
    <w:rsid w:val="08556633"/>
    <w:rsid w:val="08FB11B6"/>
    <w:rsid w:val="09C5345B"/>
    <w:rsid w:val="09FC6C3A"/>
    <w:rsid w:val="0B035332"/>
    <w:rsid w:val="0D956493"/>
    <w:rsid w:val="0E592ACC"/>
    <w:rsid w:val="0EAC7240"/>
    <w:rsid w:val="100E76C7"/>
    <w:rsid w:val="10717EFD"/>
    <w:rsid w:val="10732882"/>
    <w:rsid w:val="10D42720"/>
    <w:rsid w:val="10FA18AF"/>
    <w:rsid w:val="12437AFC"/>
    <w:rsid w:val="13676A08"/>
    <w:rsid w:val="14D62488"/>
    <w:rsid w:val="15A83127"/>
    <w:rsid w:val="15B209BE"/>
    <w:rsid w:val="161B46C1"/>
    <w:rsid w:val="16EC4928"/>
    <w:rsid w:val="18300B23"/>
    <w:rsid w:val="18CB03EA"/>
    <w:rsid w:val="18F41ADC"/>
    <w:rsid w:val="1A862C7C"/>
    <w:rsid w:val="1AFD2812"/>
    <w:rsid w:val="1B9238A2"/>
    <w:rsid w:val="1C915908"/>
    <w:rsid w:val="1DDFD33F"/>
    <w:rsid w:val="1DF54650"/>
    <w:rsid w:val="1F133DE9"/>
    <w:rsid w:val="1F647304"/>
    <w:rsid w:val="1FB37FF3"/>
    <w:rsid w:val="22525B39"/>
    <w:rsid w:val="23E6478B"/>
    <w:rsid w:val="24690026"/>
    <w:rsid w:val="24D64800"/>
    <w:rsid w:val="24E33A2C"/>
    <w:rsid w:val="25F56F08"/>
    <w:rsid w:val="27100D5D"/>
    <w:rsid w:val="28435434"/>
    <w:rsid w:val="28746F07"/>
    <w:rsid w:val="29760586"/>
    <w:rsid w:val="29C97ECD"/>
    <w:rsid w:val="29DD67AC"/>
    <w:rsid w:val="2A007BB7"/>
    <w:rsid w:val="2AC84BEB"/>
    <w:rsid w:val="2BDA4BD6"/>
    <w:rsid w:val="2D67693D"/>
    <w:rsid w:val="2ED022C0"/>
    <w:rsid w:val="2F5F53F2"/>
    <w:rsid w:val="2F984477"/>
    <w:rsid w:val="2FC02334"/>
    <w:rsid w:val="2FC260AC"/>
    <w:rsid w:val="317C04DD"/>
    <w:rsid w:val="31DB1DC5"/>
    <w:rsid w:val="345319C9"/>
    <w:rsid w:val="36292832"/>
    <w:rsid w:val="36BA5D2F"/>
    <w:rsid w:val="36E25286"/>
    <w:rsid w:val="386046B4"/>
    <w:rsid w:val="39BD2849"/>
    <w:rsid w:val="3A0E5ACB"/>
    <w:rsid w:val="3A5B2438"/>
    <w:rsid w:val="3ABBD6BA"/>
    <w:rsid w:val="3B365BA1"/>
    <w:rsid w:val="3B96663F"/>
    <w:rsid w:val="3D6906C1"/>
    <w:rsid w:val="3D6F1615"/>
    <w:rsid w:val="3DFF1FDA"/>
    <w:rsid w:val="3F945576"/>
    <w:rsid w:val="3F95733A"/>
    <w:rsid w:val="3F9A4950"/>
    <w:rsid w:val="3FA79AFE"/>
    <w:rsid w:val="3FEB2EBB"/>
    <w:rsid w:val="409404BD"/>
    <w:rsid w:val="40B37547"/>
    <w:rsid w:val="41202C33"/>
    <w:rsid w:val="41287BB3"/>
    <w:rsid w:val="41BB12AC"/>
    <w:rsid w:val="41FE3FEA"/>
    <w:rsid w:val="42F56341"/>
    <w:rsid w:val="44611430"/>
    <w:rsid w:val="4582337A"/>
    <w:rsid w:val="47FD0779"/>
    <w:rsid w:val="4B682177"/>
    <w:rsid w:val="4C411C3F"/>
    <w:rsid w:val="4CCF19B1"/>
    <w:rsid w:val="4D6810EC"/>
    <w:rsid w:val="4DBB73D0"/>
    <w:rsid w:val="4DFFEB67"/>
    <w:rsid w:val="4E262826"/>
    <w:rsid w:val="4E86609F"/>
    <w:rsid w:val="4E870795"/>
    <w:rsid w:val="4EEA2AD2"/>
    <w:rsid w:val="4EF591FF"/>
    <w:rsid w:val="4FBD7473"/>
    <w:rsid w:val="511E1AE5"/>
    <w:rsid w:val="51B64EEE"/>
    <w:rsid w:val="52754DA9"/>
    <w:rsid w:val="52C75604"/>
    <w:rsid w:val="53DC488B"/>
    <w:rsid w:val="55ED36C6"/>
    <w:rsid w:val="55EE6B0C"/>
    <w:rsid w:val="56E23B2C"/>
    <w:rsid w:val="570C5CDB"/>
    <w:rsid w:val="577FE16E"/>
    <w:rsid w:val="5A186745"/>
    <w:rsid w:val="5ABF5971"/>
    <w:rsid w:val="5B6245B1"/>
    <w:rsid w:val="5B7E0476"/>
    <w:rsid w:val="5BA364E3"/>
    <w:rsid w:val="5BA97484"/>
    <w:rsid w:val="5BAD55B3"/>
    <w:rsid w:val="5BB900F2"/>
    <w:rsid w:val="5BCF2C2B"/>
    <w:rsid w:val="5BFBB60D"/>
    <w:rsid w:val="5C4314E6"/>
    <w:rsid w:val="5D1458EA"/>
    <w:rsid w:val="5D2D075A"/>
    <w:rsid w:val="5D424F42"/>
    <w:rsid w:val="5DF41277"/>
    <w:rsid w:val="5E624433"/>
    <w:rsid w:val="5E742183"/>
    <w:rsid w:val="5F7268F8"/>
    <w:rsid w:val="5FB94527"/>
    <w:rsid w:val="600A4D82"/>
    <w:rsid w:val="621C548B"/>
    <w:rsid w:val="64A05CB5"/>
    <w:rsid w:val="64A75065"/>
    <w:rsid w:val="64B9574B"/>
    <w:rsid w:val="65632674"/>
    <w:rsid w:val="661B7AB4"/>
    <w:rsid w:val="66C832A1"/>
    <w:rsid w:val="66D439F4"/>
    <w:rsid w:val="66FC2638"/>
    <w:rsid w:val="6764746E"/>
    <w:rsid w:val="68A83C28"/>
    <w:rsid w:val="69FC25A9"/>
    <w:rsid w:val="6AD14E1A"/>
    <w:rsid w:val="6AD15D55"/>
    <w:rsid w:val="6B19056F"/>
    <w:rsid w:val="6DFF09F5"/>
    <w:rsid w:val="6E68651E"/>
    <w:rsid w:val="6EB77E5B"/>
    <w:rsid w:val="6F1277AF"/>
    <w:rsid w:val="6FED0660"/>
    <w:rsid w:val="6FF11ABB"/>
    <w:rsid w:val="6FFA19B0"/>
    <w:rsid w:val="707F70C6"/>
    <w:rsid w:val="71C40D5A"/>
    <w:rsid w:val="71CE6F08"/>
    <w:rsid w:val="71E96CC8"/>
    <w:rsid w:val="72161365"/>
    <w:rsid w:val="73634A7D"/>
    <w:rsid w:val="73BD9055"/>
    <w:rsid w:val="73FFA4C0"/>
    <w:rsid w:val="744C72C0"/>
    <w:rsid w:val="74B65081"/>
    <w:rsid w:val="75BC3D48"/>
    <w:rsid w:val="770F5593"/>
    <w:rsid w:val="77830957"/>
    <w:rsid w:val="77EE9CE6"/>
    <w:rsid w:val="77F2CECE"/>
    <w:rsid w:val="77F73847"/>
    <w:rsid w:val="78650950"/>
    <w:rsid w:val="78AD65B6"/>
    <w:rsid w:val="7AE7F950"/>
    <w:rsid w:val="7BD758FF"/>
    <w:rsid w:val="7BD81F89"/>
    <w:rsid w:val="7BFECCEA"/>
    <w:rsid w:val="7C607E9B"/>
    <w:rsid w:val="7CD259CE"/>
    <w:rsid w:val="7D8B1618"/>
    <w:rsid w:val="7DFFFCD2"/>
    <w:rsid w:val="7E0724A9"/>
    <w:rsid w:val="7E6EAD06"/>
    <w:rsid w:val="7E7661D1"/>
    <w:rsid w:val="7E8F5D48"/>
    <w:rsid w:val="7F53695A"/>
    <w:rsid w:val="7F7FBC42"/>
    <w:rsid w:val="7FB7E9C5"/>
    <w:rsid w:val="7FBD235C"/>
    <w:rsid w:val="7FE72592"/>
    <w:rsid w:val="7FFF79A2"/>
    <w:rsid w:val="9F69DDA5"/>
    <w:rsid w:val="9F73EB17"/>
    <w:rsid w:val="9FFF8AB9"/>
    <w:rsid w:val="A69349A2"/>
    <w:rsid w:val="B5FF7B87"/>
    <w:rsid w:val="B7FC0625"/>
    <w:rsid w:val="CF7F6AEE"/>
    <w:rsid w:val="D7DF525F"/>
    <w:rsid w:val="DFFB2927"/>
    <w:rsid w:val="E377FE0B"/>
    <w:rsid w:val="EAF50094"/>
    <w:rsid w:val="EEFBE872"/>
    <w:rsid w:val="EFFF0968"/>
    <w:rsid w:val="F3FFFDDD"/>
    <w:rsid w:val="F63F8F05"/>
    <w:rsid w:val="F67F5C7F"/>
    <w:rsid w:val="F77E552B"/>
    <w:rsid w:val="F7EF5B43"/>
    <w:rsid w:val="F7FAEF03"/>
    <w:rsid w:val="FBF9A8DE"/>
    <w:rsid w:val="FDFFEA72"/>
    <w:rsid w:val="FF1FF2FB"/>
    <w:rsid w:val="FF3B3A69"/>
    <w:rsid w:val="FF7A65B6"/>
    <w:rsid w:val="FFDECBCA"/>
    <w:rsid w:val="FFFD11A3"/>
    <w:rsid w:val="FFFF0D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iPriority="39" w:name="toc 2"/>
    <w:lsdException w:uiPriority="39" w:name="toc 3"/>
    <w:lsdException w:uiPriority="39" w:name="toc 4"/>
    <w:lsdException w:uiPriority="39" w:name="toc 5"/>
    <w:lsdException w:uiPriority="39" w:name="toc 6"/>
    <w:lsdException w:qFormat="1"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pPr>
    <w:rPr>
      <w:rFonts w:asciiTheme="minorHAnsi" w:hAnsiTheme="minorHAnsi" w:eastAsiaTheme="minorHAnsi" w:cstheme="minorBidi"/>
      <w:sz w:val="22"/>
      <w:szCs w:val="22"/>
      <w:lang w:val="en-US" w:eastAsia="en-US" w:bidi="ar-SA"/>
    </w:rPr>
  </w:style>
  <w:style w:type="paragraph" w:styleId="3">
    <w:name w:val="heading 1"/>
    <w:basedOn w:val="1"/>
    <w:next w:val="1"/>
    <w:link w:val="18"/>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1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31"/>
    <w:semiHidden/>
    <w:unhideWhenUsed/>
    <w:qFormat/>
    <w:uiPriority w:val="9"/>
    <w:pPr>
      <w:keepNext/>
      <w:keepLines/>
      <w:spacing w:before="260" w:after="260" w:line="416" w:lineRule="auto"/>
      <w:outlineLvl w:val="2"/>
    </w:pPr>
    <w:rPr>
      <w:b/>
      <w:bCs/>
      <w:sz w:val="32"/>
      <w:szCs w:val="32"/>
    </w:rPr>
  </w:style>
  <w:style w:type="paragraph" w:styleId="6">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toc 2"/>
    <w:basedOn w:val="1"/>
    <w:next w:val="1"/>
    <w:semiHidden/>
    <w:unhideWhenUsed/>
    <w:qFormat/>
    <w:uiPriority w:val="39"/>
    <w:pPr>
      <w:ind w:left="420" w:leftChars="200"/>
    </w:pPr>
  </w:style>
  <w:style w:type="paragraph" w:styleId="7">
    <w:name w:val="toc 7"/>
    <w:basedOn w:val="1"/>
    <w:next w:val="1"/>
    <w:semiHidden/>
    <w:unhideWhenUsed/>
    <w:qFormat/>
    <w:uiPriority w:val="39"/>
    <w:pPr>
      <w:ind w:left="2520" w:leftChars="1200"/>
    </w:pPr>
  </w:style>
  <w:style w:type="paragraph" w:styleId="8">
    <w:name w:val="Normal Indent"/>
    <w:basedOn w:val="1"/>
    <w:qFormat/>
    <w:uiPriority w:val="99"/>
    <w:pPr>
      <w:ind w:firstLine="420" w:firstLineChars="200"/>
      <w:jc w:val="both"/>
    </w:pPr>
    <w:rPr>
      <w:rFonts w:ascii="Times New Roman" w:hAnsi="Times New Roman" w:eastAsia="宋体" w:cs="Times New Roman"/>
      <w:kern w:val="2"/>
      <w:sz w:val="21"/>
      <w:szCs w:val="24"/>
      <w:lang w:eastAsia="zh-CN"/>
    </w:rPr>
  </w:style>
  <w:style w:type="paragraph" w:styleId="9">
    <w:name w:val="Body Text"/>
    <w:basedOn w:val="1"/>
    <w:next w:val="10"/>
    <w:link w:val="22"/>
    <w:qFormat/>
    <w:uiPriority w:val="99"/>
    <w:pPr>
      <w:spacing w:after="120"/>
      <w:jc w:val="both"/>
    </w:pPr>
    <w:rPr>
      <w:rFonts w:ascii="Times New Roman" w:hAnsi="Times New Roman" w:eastAsia="宋体" w:cs="Times New Roman"/>
      <w:kern w:val="2"/>
      <w:sz w:val="21"/>
      <w:szCs w:val="24"/>
      <w:lang w:eastAsia="zh-CN"/>
    </w:rPr>
  </w:style>
  <w:style w:type="paragraph" w:styleId="10">
    <w:name w:val="Date"/>
    <w:basedOn w:val="1"/>
    <w:next w:val="1"/>
    <w:qFormat/>
    <w:uiPriority w:val="0"/>
    <w:rPr>
      <w:sz w:val="20"/>
      <w:szCs w:val="20"/>
    </w:rPr>
  </w:style>
  <w:style w:type="paragraph" w:styleId="11">
    <w:name w:val="footer"/>
    <w:basedOn w:val="1"/>
    <w:link w:val="36"/>
    <w:unhideWhenUsed/>
    <w:qFormat/>
    <w:uiPriority w:val="99"/>
    <w:pPr>
      <w:tabs>
        <w:tab w:val="center" w:pos="4153"/>
        <w:tab w:val="right" w:pos="8306"/>
      </w:tabs>
      <w:snapToGrid w:val="0"/>
    </w:pPr>
    <w:rPr>
      <w:sz w:val="18"/>
      <w:szCs w:val="18"/>
    </w:rPr>
  </w:style>
  <w:style w:type="paragraph" w:styleId="12">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table" w:styleId="14">
    <w:name w:val="Table Grid"/>
    <w:basedOn w:val="1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bCs/>
    </w:rPr>
  </w:style>
  <w:style w:type="character" w:customStyle="1" w:styleId="17">
    <w:name w:val="标题 2 字符"/>
    <w:basedOn w:val="15"/>
    <w:link w:val="4"/>
    <w:qFormat/>
    <w:uiPriority w:val="9"/>
    <w:rPr>
      <w:rFonts w:asciiTheme="majorHAnsi" w:hAnsiTheme="majorHAnsi" w:eastAsiaTheme="majorEastAsia" w:cstheme="majorBidi"/>
      <w:b/>
      <w:bCs/>
      <w:kern w:val="0"/>
      <w:sz w:val="32"/>
      <w:szCs w:val="32"/>
      <w:lang w:eastAsia="en-US"/>
    </w:rPr>
  </w:style>
  <w:style w:type="character" w:customStyle="1" w:styleId="18">
    <w:name w:val="标题 1 字符"/>
    <w:basedOn w:val="15"/>
    <w:link w:val="3"/>
    <w:qFormat/>
    <w:uiPriority w:val="9"/>
    <w:rPr>
      <w:rFonts w:eastAsiaTheme="minorHAnsi"/>
      <w:b/>
      <w:bCs/>
      <w:kern w:val="44"/>
      <w:sz w:val="44"/>
      <w:szCs w:val="44"/>
      <w:lang w:eastAsia="en-US"/>
    </w:rPr>
  </w:style>
  <w:style w:type="paragraph" w:styleId="19">
    <w:name w:val="List Paragraph"/>
    <w:basedOn w:val="1"/>
    <w:link w:val="21"/>
    <w:qFormat/>
    <w:uiPriority w:val="1"/>
    <w:pPr>
      <w:ind w:firstLine="420" w:firstLineChars="200"/>
    </w:pPr>
  </w:style>
  <w:style w:type="paragraph" w:customStyle="1" w:styleId="20">
    <w:name w:val="Default"/>
    <w:qFormat/>
    <w:uiPriority w:val="0"/>
    <w:pPr>
      <w:widowControl w:val="0"/>
      <w:autoSpaceDE w:val="0"/>
      <w:autoSpaceDN w:val="0"/>
      <w:adjustRightInd w:val="0"/>
    </w:pPr>
    <w:rPr>
      <w:rFonts w:ascii="微软雅黑" w:eastAsia="微软雅黑" w:cs="微软雅黑" w:hAnsiTheme="minorHAnsi"/>
      <w:color w:val="000000"/>
      <w:sz w:val="24"/>
      <w:szCs w:val="24"/>
      <w:lang w:val="en-US" w:eastAsia="zh-CN" w:bidi="ar-SA"/>
    </w:rPr>
  </w:style>
  <w:style w:type="character" w:customStyle="1" w:styleId="21">
    <w:name w:val="列表段落 字符"/>
    <w:basedOn w:val="15"/>
    <w:link w:val="19"/>
    <w:qFormat/>
    <w:uiPriority w:val="1"/>
    <w:rPr>
      <w:rFonts w:eastAsiaTheme="minorHAnsi"/>
      <w:kern w:val="0"/>
      <w:sz w:val="22"/>
      <w:lang w:eastAsia="en-US"/>
    </w:rPr>
  </w:style>
  <w:style w:type="character" w:customStyle="1" w:styleId="22">
    <w:name w:val="正文文本 字符"/>
    <w:basedOn w:val="15"/>
    <w:link w:val="9"/>
    <w:qFormat/>
    <w:uiPriority w:val="99"/>
    <w:rPr>
      <w:rFonts w:ascii="Times New Roman" w:hAnsi="Times New Roman" w:eastAsia="宋体" w:cs="Times New Roman"/>
      <w:szCs w:val="24"/>
    </w:rPr>
  </w:style>
  <w:style w:type="character" w:customStyle="1" w:styleId="23">
    <w:name w:val="font41"/>
    <w:basedOn w:val="15"/>
    <w:qFormat/>
    <w:uiPriority w:val="0"/>
    <w:rPr>
      <w:rFonts w:hint="eastAsia" w:ascii="宋体" w:hAnsi="宋体" w:eastAsia="宋体" w:cs="宋体"/>
      <w:color w:val="000000"/>
      <w:sz w:val="21"/>
      <w:szCs w:val="21"/>
      <w:u w:val="none"/>
    </w:rPr>
  </w:style>
  <w:style w:type="paragraph" w:customStyle="1" w:styleId="24">
    <w:name w:val="列出段落1"/>
    <w:basedOn w:val="1"/>
    <w:qFormat/>
    <w:uiPriority w:val="34"/>
    <w:pPr>
      <w:ind w:firstLine="420"/>
      <w:jc w:val="both"/>
    </w:pPr>
    <w:rPr>
      <w:rFonts w:ascii="Times New Roman" w:hAnsi="Times New Roman" w:eastAsia="宋体" w:cs="Times New Roman"/>
      <w:kern w:val="2"/>
      <w:sz w:val="21"/>
      <w:szCs w:val="24"/>
      <w:lang w:eastAsia="zh-CN"/>
    </w:rPr>
  </w:style>
  <w:style w:type="character" w:customStyle="1" w:styleId="25">
    <w:name w:val="font51"/>
    <w:basedOn w:val="15"/>
    <w:qFormat/>
    <w:uiPriority w:val="0"/>
    <w:rPr>
      <w:rFonts w:hint="eastAsia" w:ascii="宋体" w:hAnsi="宋体" w:eastAsia="宋体" w:cs="宋体"/>
      <w:b/>
      <w:bCs/>
      <w:color w:val="0000FF"/>
      <w:sz w:val="21"/>
      <w:szCs w:val="21"/>
      <w:u w:val="none"/>
    </w:rPr>
  </w:style>
  <w:style w:type="character" w:customStyle="1" w:styleId="26">
    <w:name w:val="font11"/>
    <w:basedOn w:val="15"/>
    <w:qFormat/>
    <w:uiPriority w:val="0"/>
    <w:rPr>
      <w:rFonts w:hint="eastAsia" w:ascii="宋体" w:hAnsi="宋体" w:eastAsia="宋体" w:cs="宋体"/>
      <w:b/>
      <w:bCs/>
      <w:color w:val="000000"/>
      <w:sz w:val="21"/>
      <w:szCs w:val="21"/>
      <w:u w:val="none"/>
    </w:rPr>
  </w:style>
  <w:style w:type="character" w:customStyle="1" w:styleId="27">
    <w:name w:val="font21"/>
    <w:basedOn w:val="15"/>
    <w:qFormat/>
    <w:uiPriority w:val="0"/>
    <w:rPr>
      <w:rFonts w:hint="eastAsia" w:ascii="宋体" w:hAnsi="宋体" w:eastAsia="宋体" w:cs="宋体"/>
      <w:b/>
      <w:bCs/>
      <w:color w:val="000000"/>
      <w:sz w:val="21"/>
      <w:szCs w:val="21"/>
      <w:u w:val="none"/>
    </w:rPr>
  </w:style>
  <w:style w:type="character" w:customStyle="1" w:styleId="28">
    <w:name w:val="font61"/>
    <w:basedOn w:val="15"/>
    <w:qFormat/>
    <w:uiPriority w:val="0"/>
    <w:rPr>
      <w:rFonts w:hint="default" w:ascii="Times New Roman" w:hAnsi="Times New Roman" w:cs="Times New Roman"/>
      <w:color w:val="000000"/>
      <w:sz w:val="21"/>
      <w:szCs w:val="21"/>
      <w:u w:val="none"/>
    </w:rPr>
  </w:style>
  <w:style w:type="character" w:customStyle="1" w:styleId="29">
    <w:name w:val="font81"/>
    <w:basedOn w:val="15"/>
    <w:qFormat/>
    <w:uiPriority w:val="0"/>
    <w:rPr>
      <w:rFonts w:ascii="Helvetica" w:hAnsi="Helvetica" w:eastAsia="Helvetica" w:cs="Helvetica"/>
      <w:color w:val="333333"/>
      <w:sz w:val="21"/>
      <w:szCs w:val="21"/>
      <w:u w:val="none"/>
    </w:rPr>
  </w:style>
  <w:style w:type="character" w:customStyle="1" w:styleId="30">
    <w:name w:val="font91"/>
    <w:basedOn w:val="15"/>
    <w:qFormat/>
    <w:uiPriority w:val="0"/>
    <w:rPr>
      <w:rFonts w:hint="eastAsia" w:ascii="宋体" w:hAnsi="宋体" w:eastAsia="宋体" w:cs="宋体"/>
      <w:color w:val="333333"/>
      <w:sz w:val="21"/>
      <w:szCs w:val="21"/>
      <w:u w:val="none"/>
    </w:rPr>
  </w:style>
  <w:style w:type="character" w:customStyle="1" w:styleId="31">
    <w:name w:val="标题 3 字符"/>
    <w:basedOn w:val="15"/>
    <w:link w:val="5"/>
    <w:semiHidden/>
    <w:qFormat/>
    <w:uiPriority w:val="9"/>
    <w:rPr>
      <w:rFonts w:eastAsiaTheme="minorHAnsi"/>
      <w:b/>
      <w:bCs/>
      <w:kern w:val="0"/>
      <w:sz w:val="32"/>
      <w:szCs w:val="32"/>
      <w:lang w:eastAsia="en-US"/>
    </w:rPr>
  </w:style>
  <w:style w:type="character" w:customStyle="1" w:styleId="32">
    <w:name w:val="标题 4 字符"/>
    <w:basedOn w:val="15"/>
    <w:link w:val="6"/>
    <w:semiHidden/>
    <w:qFormat/>
    <w:uiPriority w:val="9"/>
    <w:rPr>
      <w:rFonts w:asciiTheme="majorHAnsi" w:hAnsiTheme="majorHAnsi" w:eastAsiaTheme="majorEastAsia" w:cstheme="majorBidi"/>
      <w:b/>
      <w:bCs/>
      <w:kern w:val="0"/>
      <w:sz w:val="28"/>
      <w:szCs w:val="28"/>
      <w:lang w:eastAsia="en-US"/>
    </w:rPr>
  </w:style>
  <w:style w:type="paragraph" w:customStyle="1" w:styleId="33">
    <w:name w:val="列表段落2"/>
    <w:basedOn w:val="1"/>
    <w:link w:val="34"/>
    <w:qFormat/>
    <w:uiPriority w:val="34"/>
    <w:pPr>
      <w:spacing w:line="360" w:lineRule="auto"/>
      <w:ind w:firstLine="420" w:firstLineChars="200"/>
      <w:jc w:val="both"/>
    </w:pPr>
    <w:rPr>
      <w:rFonts w:ascii="Times New Roman" w:hAnsi="Times New Roman" w:eastAsia="宋体" w:cs="Times New Roman"/>
      <w:kern w:val="2"/>
      <w:sz w:val="24"/>
      <w:szCs w:val="24"/>
      <w:lang w:eastAsia="zh-CN"/>
    </w:rPr>
  </w:style>
  <w:style w:type="character" w:customStyle="1" w:styleId="34">
    <w:name w:val="列表段落 字符1"/>
    <w:link w:val="33"/>
    <w:qFormat/>
    <w:uiPriority w:val="34"/>
    <w:rPr>
      <w:rFonts w:ascii="Times New Roman" w:hAnsi="Times New Roman" w:eastAsia="宋体" w:cs="Times New Roman"/>
      <w:sz w:val="24"/>
      <w:szCs w:val="24"/>
    </w:rPr>
  </w:style>
  <w:style w:type="character" w:customStyle="1" w:styleId="35">
    <w:name w:val="页眉 字符"/>
    <w:basedOn w:val="15"/>
    <w:link w:val="12"/>
    <w:qFormat/>
    <w:uiPriority w:val="99"/>
    <w:rPr>
      <w:rFonts w:eastAsiaTheme="minorHAnsi"/>
      <w:sz w:val="18"/>
      <w:szCs w:val="18"/>
      <w:lang w:eastAsia="en-US"/>
    </w:rPr>
  </w:style>
  <w:style w:type="character" w:customStyle="1" w:styleId="36">
    <w:name w:val="页脚 字符"/>
    <w:basedOn w:val="15"/>
    <w:link w:val="11"/>
    <w:qFormat/>
    <w:uiPriority w:val="99"/>
    <w:rPr>
      <w:rFonts w:eastAsiaTheme="minorHAnsi"/>
      <w:sz w:val="18"/>
      <w:szCs w:val="18"/>
      <w:lang w:eastAsia="en-US"/>
    </w:rPr>
  </w:style>
  <w:style w:type="paragraph" w:customStyle="1" w:styleId="37">
    <w:name w:val="Table Paragraph"/>
    <w:basedOn w:val="1"/>
    <w:qFormat/>
    <w:uiPriority w:val="1"/>
  </w:style>
  <w:style w:type="table" w:customStyle="1" w:styleId="38">
    <w:name w:val="Table Normal"/>
    <w:basedOn w:val="13"/>
    <w:semiHidden/>
    <w:unhideWhenUsed/>
    <w:qFormat/>
    <w:uiPriority w:val="2"/>
    <w:tblPr>
      <w:tblCellMar>
        <w:left w:w="0" w:type="dxa"/>
        <w:right w:w="0" w:type="dxa"/>
      </w:tblCellMar>
    </w:tblPr>
  </w:style>
  <w:style w:type="paragraph" w:customStyle="1" w:styleId="39">
    <w:name w:val="修订1"/>
    <w:hidden/>
    <w:unhideWhenUsed/>
    <w:qFormat/>
    <w:uiPriority w:val="99"/>
    <w:rPr>
      <w:rFonts w:asciiTheme="minorHAnsi" w:hAnsiTheme="minorHAnsi" w:eastAsiaTheme="minorHAnsi" w:cstheme="minorBidi"/>
      <w:sz w:val="22"/>
      <w:szCs w:val="22"/>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8136</Words>
  <Characters>8287</Characters>
  <Lines>127</Lines>
  <Paragraphs>35</Paragraphs>
  <TotalTime>224</TotalTime>
  <ScaleCrop>false</ScaleCrop>
  <LinksUpToDate>false</LinksUpToDate>
  <CharactersWithSpaces>8319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2025-10-11T11:28:00Z</dcterms:created>
  <dc:creator>lenovo</dc:creator>
  <cp:lastModifiedBy>胖子哥哥</cp:lastModifiedBy>
  <cp:lastPrinted>2025-10-23T07:18:00Z</cp:lastPrinted>
  <dcterms:modified xsi:type="dcterms:W3CDTF">2025-11-06T01:28:12Z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eyJoZGlkIjoiYTYxNjhkZDNjZGNhN2M5NjU2Y2NiZGY0MGQ1ZGM2OTQiLCJ1c2VySWQiOiIxMjAzMzM2ODQ5In0=</vt:lpwstr>
  </property>
  <property fmtid="{D5CDD505-2E9C-101B-9397-08002B2CF9AE}" pid="3" name="KSOProductBuildVer">
    <vt:lpwstr>2052-12.1.0.23542</vt:lpwstr>
  </property>
  <property fmtid="{D5CDD505-2E9C-101B-9397-08002B2CF9AE}" pid="4" name="ICV">
    <vt:lpwstr>F3A8EB68637F48F5A6971F1A4D361C35_13</vt:lpwstr>
  </property>
</Properties>
</file>