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A0455F">
      <w:pPr>
        <w:autoSpaceDE/>
        <w:autoSpaceDN/>
        <w:spacing w:line="540" w:lineRule="exact"/>
        <w:jc w:val="center"/>
        <w:rPr>
          <w:rFonts w:ascii="方正小标宋_GBK" w:hAnsi="方正小标宋_GBK" w:eastAsia="方正小标宋_GBK" w:cs="方正小标宋_GBK"/>
          <w:b/>
          <w:bCs/>
          <w:sz w:val="44"/>
          <w:szCs w:val="44"/>
        </w:rPr>
      </w:pPr>
      <w:r>
        <w:rPr>
          <w:rFonts w:hint="eastAsia" w:ascii="方正小标宋_GBK" w:hAnsi="方正小标宋_GBK" w:eastAsia="方正小标宋_GBK" w:cs="方正小标宋_GBK"/>
          <w:b/>
          <w:bCs/>
          <w:sz w:val="44"/>
          <w:szCs w:val="44"/>
        </w:rPr>
        <w:t>采购需求</w:t>
      </w:r>
    </w:p>
    <w:p w14:paraId="06016E67">
      <w:pPr>
        <w:keepNext w:val="0"/>
        <w:keepLines w:val="0"/>
        <w:pageBreakBefore w:val="0"/>
        <w:kinsoku/>
        <w:wordWrap/>
        <w:topLinePunct w:val="0"/>
        <w:autoSpaceDE/>
        <w:autoSpaceDN/>
        <w:bidi w:val="0"/>
        <w:spacing w:line="360" w:lineRule="auto"/>
        <w:ind w:right="-283" w:firstLine="643" w:firstLineChars="200"/>
        <w:textAlignment w:val="auto"/>
        <w:rPr>
          <w:rFonts w:ascii="黑体" w:hAnsi="黑体" w:eastAsia="黑体" w:cs="黑体"/>
          <w:b/>
          <w:sz w:val="32"/>
          <w:szCs w:val="32"/>
        </w:rPr>
      </w:pPr>
      <w:r>
        <w:rPr>
          <w:rFonts w:hint="eastAsia" w:ascii="黑体" w:hAnsi="黑体" w:eastAsia="黑体" w:cs="黑体"/>
          <w:b/>
          <w:sz w:val="32"/>
          <w:szCs w:val="32"/>
        </w:rPr>
        <w:t>一、项目概况</w:t>
      </w:r>
    </w:p>
    <w:p w14:paraId="3E82A3B3">
      <w:pPr>
        <w:keepNext w:val="0"/>
        <w:keepLines w:val="0"/>
        <w:pageBreakBefore w:val="0"/>
        <w:widowControl w:val="0"/>
        <w:kinsoku/>
        <w:wordWrap/>
        <w:overflowPunct/>
        <w:topLinePunct w:val="0"/>
        <w:bidi w:val="0"/>
        <w:spacing w:line="360" w:lineRule="auto"/>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根据中共宁乡市委</w:t>
      </w:r>
      <w:r>
        <w:rPr>
          <w:rFonts w:hint="eastAsia" w:ascii="仿宋_GB2312" w:hAnsi="仿宋_GB2312" w:eastAsia="仿宋_GB2312" w:cs="仿宋_GB2312"/>
          <w:sz w:val="32"/>
          <w:szCs w:val="32"/>
          <w:lang w:eastAsia="zh-CN"/>
        </w:rPr>
        <w:t>农村</w:t>
      </w:r>
      <w:r>
        <w:rPr>
          <w:rFonts w:hint="eastAsia" w:ascii="仿宋_GB2312" w:hAnsi="仿宋_GB2312" w:eastAsia="仿宋_GB2312" w:cs="仿宋_GB2312"/>
          <w:sz w:val="32"/>
          <w:szCs w:val="32"/>
        </w:rPr>
        <w:t>工作领导小组办公室《宁乡市202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年巩固拓展脱贫攻坚成果同乡村振兴有效衔接产业发展实施细则》和《关于开展202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年巩固拓展脱贫攻坚成果同乡村振兴有效衔接产业发展项目验收及复核工作的通知》文件要求，</w:t>
      </w:r>
      <w:r>
        <w:rPr>
          <w:rFonts w:hint="eastAsia" w:ascii="仿宋_GB2312" w:hAnsi="仿宋_GB2312" w:eastAsia="仿宋_GB2312" w:cs="仿宋_GB2312"/>
          <w:sz w:val="32"/>
          <w:szCs w:val="32"/>
          <w:lang w:eastAsia="zh-CN"/>
        </w:rPr>
        <w:t>由宁乡</w:t>
      </w:r>
      <w:r>
        <w:rPr>
          <w:rFonts w:hint="eastAsia" w:ascii="仿宋_GB2312" w:hAnsi="仿宋_GB2312" w:eastAsia="仿宋_GB2312" w:cs="仿宋_GB2312"/>
          <w:sz w:val="32"/>
          <w:szCs w:val="32"/>
        </w:rPr>
        <w:t>市</w:t>
      </w:r>
      <w:r>
        <w:rPr>
          <w:rFonts w:hint="eastAsia" w:ascii="仿宋_GB2312" w:hAnsi="仿宋_GB2312" w:eastAsia="仿宋_GB2312" w:cs="仿宋_GB2312"/>
          <w:sz w:val="32"/>
          <w:szCs w:val="32"/>
          <w:lang w:eastAsia="zh-CN"/>
        </w:rPr>
        <w:t>农业农村局牵头，拟</w:t>
      </w:r>
      <w:r>
        <w:rPr>
          <w:rFonts w:hint="eastAsia" w:ascii="仿宋_GB2312" w:hAnsi="仿宋_GB2312" w:eastAsia="仿宋_GB2312" w:cs="仿宋_GB2312"/>
          <w:sz w:val="32"/>
          <w:szCs w:val="32"/>
        </w:rPr>
        <w:t>组织相关部门</w:t>
      </w:r>
      <w:r>
        <w:rPr>
          <w:rFonts w:hint="eastAsia" w:ascii="仿宋_GB2312" w:hAnsi="仿宋_GB2312" w:eastAsia="仿宋_GB2312" w:cs="仿宋_GB2312"/>
          <w:sz w:val="32"/>
          <w:szCs w:val="32"/>
          <w:lang w:eastAsia="zh-CN"/>
        </w:rPr>
        <w:t>并</w:t>
      </w:r>
      <w:r>
        <w:rPr>
          <w:rFonts w:hint="eastAsia" w:ascii="仿宋_GB2312" w:hAnsi="仿宋_GB2312" w:eastAsia="仿宋_GB2312" w:cs="仿宋_GB2312"/>
          <w:sz w:val="32"/>
          <w:szCs w:val="32"/>
        </w:rPr>
        <w:t>聘请第三方专业机构</w:t>
      </w:r>
      <w:r>
        <w:rPr>
          <w:rFonts w:hint="eastAsia" w:ascii="仿宋_GB2312" w:hAnsi="仿宋_GB2312" w:eastAsia="仿宋_GB2312" w:cs="仿宋_GB2312"/>
          <w:sz w:val="32"/>
          <w:szCs w:val="32"/>
          <w:lang w:eastAsia="zh-CN"/>
        </w:rPr>
        <w:t>，在完成乡镇验收的基础上，对</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年巩固拓展脱贫攻坚成果同乡村振兴有效衔接产业发展项目进行验收复核</w:t>
      </w:r>
      <w:r>
        <w:rPr>
          <w:rFonts w:hint="eastAsia" w:ascii="仿宋_GB2312" w:hAnsi="仿宋_GB2312" w:eastAsia="仿宋_GB2312" w:cs="仿宋_GB2312"/>
          <w:sz w:val="32"/>
          <w:szCs w:val="32"/>
          <w:lang w:eastAsia="zh-CN"/>
        </w:rPr>
        <w:t>（审计）</w:t>
      </w:r>
      <w:r>
        <w:rPr>
          <w:rFonts w:hint="eastAsia" w:ascii="仿宋_GB2312" w:hAnsi="仿宋_GB2312" w:eastAsia="仿宋_GB2312" w:cs="仿宋_GB2312"/>
          <w:sz w:val="32"/>
          <w:szCs w:val="32"/>
        </w:rPr>
        <w:t>。</w:t>
      </w:r>
    </w:p>
    <w:p w14:paraId="405E1B2E">
      <w:pPr>
        <w:keepNext w:val="0"/>
        <w:keepLines w:val="0"/>
        <w:pageBreakBefore w:val="0"/>
        <w:widowControl w:val="0"/>
        <w:numPr>
          <w:ilvl w:val="0"/>
          <w:numId w:val="1"/>
        </w:numPr>
        <w:kinsoku/>
        <w:wordWrap/>
        <w:overflowPunct w:val="0"/>
        <w:topLinePunct w:val="0"/>
        <w:bidi w:val="0"/>
        <w:spacing w:line="360" w:lineRule="auto"/>
        <w:ind w:firstLine="643" w:firstLineChars="200"/>
        <w:jc w:val="left"/>
        <w:textAlignment w:val="auto"/>
        <w:rPr>
          <w:rFonts w:hint="eastAsia" w:ascii="宋体" w:hAnsi="宋体" w:eastAsia="宋体" w:cs="宋体"/>
          <w:b/>
          <w:bCs/>
          <w:sz w:val="32"/>
          <w:szCs w:val="32"/>
        </w:rPr>
      </w:pPr>
      <w:r>
        <w:rPr>
          <w:rFonts w:hint="eastAsia" w:ascii="宋体" w:hAnsi="宋体" w:eastAsia="宋体" w:cs="宋体"/>
          <w:b/>
          <w:bCs/>
          <w:sz w:val="32"/>
          <w:szCs w:val="32"/>
        </w:rPr>
        <w:t>采购项目名称</w:t>
      </w:r>
    </w:p>
    <w:p w14:paraId="2B7F1CD1">
      <w:pPr>
        <w:keepNext w:val="0"/>
        <w:keepLines w:val="0"/>
        <w:pageBreakBefore w:val="0"/>
        <w:widowControl w:val="0"/>
        <w:kinsoku/>
        <w:wordWrap/>
        <w:overflowPunct/>
        <w:topLinePunct w:val="0"/>
        <w:bidi w:val="0"/>
        <w:spacing w:line="360" w:lineRule="auto"/>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宁乡市202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年巩固拓展脱贫攻坚成果同乡村振兴有效衔接产业发展项目验收</w:t>
      </w:r>
      <w:r>
        <w:rPr>
          <w:rFonts w:hint="eastAsia" w:ascii="仿宋_GB2312" w:hAnsi="仿宋_GB2312" w:eastAsia="仿宋_GB2312" w:cs="仿宋_GB2312"/>
          <w:sz w:val="32"/>
          <w:szCs w:val="32"/>
          <w:lang w:eastAsia="zh-CN"/>
        </w:rPr>
        <w:t>复核（审计）服务。</w:t>
      </w:r>
    </w:p>
    <w:p w14:paraId="5B53E292">
      <w:pPr>
        <w:keepNext w:val="0"/>
        <w:keepLines w:val="0"/>
        <w:pageBreakBefore w:val="0"/>
        <w:kinsoku/>
        <w:wordWrap/>
        <w:topLinePunct w:val="0"/>
        <w:autoSpaceDE/>
        <w:autoSpaceDN/>
        <w:bidi w:val="0"/>
        <w:spacing w:line="360" w:lineRule="auto"/>
        <w:ind w:left="-283" w:leftChars="-135" w:right="-283" w:firstLine="941" w:firstLineChars="293"/>
        <w:textAlignment w:val="auto"/>
        <w:rPr>
          <w:rFonts w:hint="eastAsia" w:ascii="宋体" w:hAnsi="宋体" w:eastAsia="宋体" w:cs="宋体"/>
          <w:b/>
          <w:bCs/>
        </w:rPr>
      </w:pPr>
      <w:r>
        <w:rPr>
          <w:rFonts w:hint="eastAsia" w:ascii="宋体" w:hAnsi="宋体" w:eastAsia="宋体" w:cs="宋体"/>
          <w:b/>
          <w:bCs/>
          <w:sz w:val="32"/>
          <w:szCs w:val="32"/>
          <w:lang w:eastAsia="zh-CN"/>
        </w:rPr>
        <w:t>（二）</w:t>
      </w:r>
      <w:r>
        <w:rPr>
          <w:rFonts w:hint="eastAsia" w:ascii="宋体" w:hAnsi="宋体" w:eastAsia="宋体" w:cs="宋体"/>
          <w:b/>
          <w:bCs/>
          <w:sz w:val="32"/>
          <w:szCs w:val="32"/>
        </w:rPr>
        <w:t>采购项目标的、数量及预算</w:t>
      </w:r>
    </w:p>
    <w:tbl>
      <w:tblPr>
        <w:tblStyle w:val="7"/>
        <w:tblpPr w:vertAnchor="text" w:tblpX="-144" w:tblpY="269"/>
        <w:tblW w:w="8938" w:type="dxa"/>
        <w:tblInd w:w="0" w:type="dxa"/>
        <w:tblLayout w:type="fixed"/>
        <w:tblCellMar>
          <w:top w:w="0" w:type="dxa"/>
          <w:left w:w="0" w:type="dxa"/>
          <w:bottom w:w="0" w:type="dxa"/>
          <w:right w:w="0" w:type="dxa"/>
        </w:tblCellMar>
      </w:tblPr>
      <w:tblGrid>
        <w:gridCol w:w="5851"/>
        <w:gridCol w:w="593"/>
        <w:gridCol w:w="1227"/>
        <w:gridCol w:w="1267"/>
      </w:tblGrid>
      <w:tr w14:paraId="2653289A">
        <w:tblPrEx>
          <w:tblCellMar>
            <w:top w:w="0" w:type="dxa"/>
            <w:left w:w="0" w:type="dxa"/>
            <w:bottom w:w="0" w:type="dxa"/>
            <w:right w:w="0" w:type="dxa"/>
          </w:tblCellMar>
        </w:tblPrEx>
        <w:trPr>
          <w:trHeight w:val="911" w:hRule="atLeast"/>
        </w:trPr>
        <w:tc>
          <w:tcPr>
            <w:tcW w:w="5851" w:type="dxa"/>
            <w:tcBorders>
              <w:top w:val="single" w:color="000000" w:sz="8" w:space="0"/>
              <w:left w:val="single" w:color="000000" w:sz="6" w:space="0"/>
              <w:bottom w:val="single" w:color="000000" w:sz="6" w:space="0"/>
              <w:right w:val="single" w:color="000000" w:sz="6" w:space="0"/>
            </w:tcBorders>
            <w:tcMar>
              <w:left w:w="108" w:type="dxa"/>
              <w:right w:w="108" w:type="dxa"/>
            </w:tcMar>
          </w:tcPr>
          <w:p w14:paraId="2F5C5B3B">
            <w:pPr>
              <w:keepNext w:val="0"/>
              <w:keepLines w:val="0"/>
              <w:pageBreakBefore w:val="0"/>
              <w:kinsoku/>
              <w:wordWrap/>
              <w:topLinePunct w:val="0"/>
              <w:autoSpaceDE/>
              <w:autoSpaceDN/>
              <w:bidi w:val="0"/>
              <w:spacing w:line="360" w:lineRule="auto"/>
              <w:ind w:right="-283" w:firstLine="1960" w:firstLineChars="700"/>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采购项目标的、名称</w:t>
            </w:r>
          </w:p>
        </w:tc>
        <w:tc>
          <w:tcPr>
            <w:tcW w:w="593" w:type="dxa"/>
            <w:tcBorders>
              <w:top w:val="single" w:color="000000" w:sz="8" w:space="0"/>
              <w:left w:val="single" w:color="000000" w:sz="6" w:space="0"/>
              <w:bottom w:val="single" w:color="000000" w:sz="6" w:space="0"/>
              <w:right w:val="single" w:color="000000" w:sz="6" w:space="0"/>
            </w:tcBorders>
            <w:tcMar>
              <w:left w:w="108" w:type="dxa"/>
              <w:right w:w="108" w:type="dxa"/>
            </w:tcMar>
          </w:tcPr>
          <w:p w14:paraId="0DD37BC6">
            <w:pPr>
              <w:keepNext w:val="0"/>
              <w:keepLines w:val="0"/>
              <w:pageBreakBefore w:val="0"/>
              <w:kinsoku/>
              <w:wordWrap/>
              <w:topLinePunct w:val="0"/>
              <w:autoSpaceDE/>
              <w:autoSpaceDN/>
              <w:bidi w:val="0"/>
              <w:spacing w:line="360" w:lineRule="auto"/>
              <w:ind w:left="-283" w:right="-283"/>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数量</w:t>
            </w:r>
          </w:p>
          <w:p w14:paraId="3AC39972">
            <w:pPr>
              <w:keepNext w:val="0"/>
              <w:keepLines w:val="0"/>
              <w:pageBreakBefore w:val="0"/>
              <w:kinsoku/>
              <w:wordWrap/>
              <w:topLinePunct w:val="0"/>
              <w:autoSpaceDE/>
              <w:autoSpaceDN/>
              <w:bidi w:val="0"/>
              <w:spacing w:line="360" w:lineRule="auto"/>
              <w:ind w:left="-283" w:right="-283"/>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（个）</w:t>
            </w:r>
          </w:p>
        </w:tc>
        <w:tc>
          <w:tcPr>
            <w:tcW w:w="1227" w:type="dxa"/>
            <w:tcBorders>
              <w:top w:val="single" w:color="000000" w:sz="8" w:space="0"/>
              <w:left w:val="single" w:color="000000" w:sz="6" w:space="0"/>
              <w:bottom w:val="single" w:color="000000" w:sz="6" w:space="0"/>
              <w:right w:val="single" w:color="000000" w:sz="8" w:space="0"/>
            </w:tcBorders>
            <w:tcMar>
              <w:left w:w="108" w:type="dxa"/>
              <w:right w:w="108" w:type="dxa"/>
            </w:tcMar>
          </w:tcPr>
          <w:p w14:paraId="5D90B332">
            <w:pPr>
              <w:keepNext w:val="0"/>
              <w:keepLines w:val="0"/>
              <w:pageBreakBefore w:val="0"/>
              <w:kinsoku/>
              <w:wordWrap/>
              <w:topLinePunct w:val="0"/>
              <w:autoSpaceDE/>
              <w:autoSpaceDN/>
              <w:bidi w:val="0"/>
              <w:spacing w:line="360" w:lineRule="auto"/>
              <w:ind w:left="-283" w:right="-283"/>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预算单价</w:t>
            </w:r>
          </w:p>
          <w:p w14:paraId="3228C1F1">
            <w:pPr>
              <w:keepNext w:val="0"/>
              <w:keepLines w:val="0"/>
              <w:pageBreakBefore w:val="0"/>
              <w:kinsoku/>
              <w:wordWrap/>
              <w:topLinePunct w:val="0"/>
              <w:autoSpaceDE/>
              <w:autoSpaceDN/>
              <w:bidi w:val="0"/>
              <w:spacing w:line="360" w:lineRule="auto"/>
              <w:ind w:left="-283" w:right="-283"/>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（元）</w:t>
            </w:r>
          </w:p>
        </w:tc>
        <w:tc>
          <w:tcPr>
            <w:tcW w:w="1267" w:type="dxa"/>
            <w:tcBorders>
              <w:top w:val="single" w:color="000000" w:sz="8" w:space="0"/>
              <w:left w:val="single" w:color="000000" w:sz="6" w:space="0"/>
              <w:bottom w:val="single" w:color="000000" w:sz="6" w:space="0"/>
              <w:right w:val="single" w:color="000000" w:sz="8" w:space="0"/>
            </w:tcBorders>
            <w:tcMar>
              <w:left w:w="108" w:type="dxa"/>
              <w:right w:w="108" w:type="dxa"/>
            </w:tcMar>
          </w:tcPr>
          <w:p w14:paraId="0CED2544">
            <w:pPr>
              <w:keepNext w:val="0"/>
              <w:keepLines w:val="0"/>
              <w:pageBreakBefore w:val="0"/>
              <w:kinsoku/>
              <w:wordWrap/>
              <w:topLinePunct w:val="0"/>
              <w:autoSpaceDE/>
              <w:autoSpaceDN/>
              <w:bidi w:val="0"/>
              <w:spacing w:line="360" w:lineRule="auto"/>
              <w:ind w:left="-283" w:right="-283"/>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预算总价</w:t>
            </w:r>
          </w:p>
          <w:p w14:paraId="124018B3">
            <w:pPr>
              <w:keepNext w:val="0"/>
              <w:keepLines w:val="0"/>
              <w:pageBreakBefore w:val="0"/>
              <w:kinsoku/>
              <w:wordWrap/>
              <w:topLinePunct w:val="0"/>
              <w:autoSpaceDE/>
              <w:autoSpaceDN/>
              <w:bidi w:val="0"/>
              <w:spacing w:line="360" w:lineRule="auto"/>
              <w:ind w:left="-283" w:right="-283"/>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（元）</w:t>
            </w:r>
          </w:p>
        </w:tc>
      </w:tr>
      <w:tr w14:paraId="084085A1">
        <w:tblPrEx>
          <w:tblCellMar>
            <w:top w:w="0" w:type="dxa"/>
            <w:left w:w="0" w:type="dxa"/>
            <w:bottom w:w="0" w:type="dxa"/>
            <w:right w:w="0" w:type="dxa"/>
          </w:tblCellMar>
        </w:tblPrEx>
        <w:trPr>
          <w:trHeight w:val="3219" w:hRule="atLeast"/>
        </w:trPr>
        <w:tc>
          <w:tcPr>
            <w:tcW w:w="5851" w:type="dxa"/>
            <w:tcBorders>
              <w:top w:val="single" w:color="000000" w:sz="6" w:space="0"/>
              <w:left w:val="single" w:color="000000" w:sz="6" w:space="0"/>
              <w:bottom w:val="single" w:color="000000" w:sz="6" w:space="0"/>
              <w:right w:val="single" w:color="000000" w:sz="6" w:space="0"/>
            </w:tcBorders>
            <w:tcMar>
              <w:left w:w="108" w:type="dxa"/>
              <w:right w:w="108" w:type="dxa"/>
            </w:tcMar>
          </w:tcPr>
          <w:p w14:paraId="066DA05C">
            <w:pPr>
              <w:keepNext w:val="0"/>
              <w:keepLines w:val="0"/>
              <w:pageBreakBefore w:val="0"/>
              <w:widowControl w:val="0"/>
              <w:kinsoku/>
              <w:wordWrap/>
              <w:overflowPunct w:val="0"/>
              <w:topLinePunct w:val="0"/>
              <w:bidi w:val="0"/>
              <w:spacing w:line="360" w:lineRule="auto"/>
              <w:jc w:val="left"/>
              <w:textAlignment w:val="auto"/>
              <w:rPr>
                <w:rFonts w:ascii="仿宋_GB2312" w:hAnsi="仿宋_GB2312" w:eastAsia="仿宋_GB2312" w:cs="仿宋_GB2312"/>
                <w:sz w:val="28"/>
                <w:szCs w:val="28"/>
              </w:rPr>
            </w:pPr>
          </w:p>
          <w:p w14:paraId="1A382611">
            <w:pPr>
              <w:keepNext w:val="0"/>
              <w:keepLines w:val="0"/>
              <w:pageBreakBefore w:val="0"/>
              <w:widowControl w:val="0"/>
              <w:kinsoku/>
              <w:wordWrap/>
              <w:overflowPunct w:val="0"/>
              <w:topLinePunct w:val="0"/>
              <w:bidi w:val="0"/>
              <w:spacing w:afterAutospacing="0" w:line="360" w:lineRule="auto"/>
              <w:jc w:val="both"/>
              <w:textAlignment w:val="auto"/>
              <w:rPr>
                <w:rFonts w:hint="eastAsia" w:eastAsia="仿宋_GB2312" w:cs="Times New Roman"/>
                <w:i w:val="0"/>
                <w:iCs w:val="0"/>
                <w:color w:val="auto"/>
                <w:spacing w:val="0"/>
                <w:w w:val="100"/>
                <w:kern w:val="0"/>
                <w:sz w:val="24"/>
                <w:szCs w:val="24"/>
                <w:highlight w:val="none"/>
                <w:u w:val="none"/>
                <w:lang w:val="en-US" w:eastAsia="zh-CN" w:bidi="ar"/>
              </w:rPr>
            </w:pPr>
            <w:r>
              <w:rPr>
                <w:rFonts w:hint="eastAsia" w:eastAsia="仿宋_GB2312" w:cs="Times New Roman"/>
                <w:i w:val="0"/>
                <w:iCs w:val="0"/>
                <w:color w:val="auto"/>
                <w:spacing w:val="0"/>
                <w:w w:val="100"/>
                <w:kern w:val="0"/>
                <w:sz w:val="24"/>
                <w:szCs w:val="24"/>
                <w:highlight w:val="none"/>
                <w:u w:val="none"/>
                <w:lang w:val="en-US" w:eastAsia="zh-CN" w:bidi="ar"/>
              </w:rPr>
              <w:t>1.2024年省帮扶产业发展重点项目：7个；</w:t>
            </w:r>
          </w:p>
          <w:p w14:paraId="2FD5272B">
            <w:pPr>
              <w:keepNext w:val="0"/>
              <w:keepLines w:val="0"/>
              <w:pageBreakBefore w:val="0"/>
              <w:widowControl w:val="0"/>
              <w:kinsoku/>
              <w:wordWrap/>
              <w:overflowPunct w:val="0"/>
              <w:topLinePunct w:val="0"/>
              <w:bidi w:val="0"/>
              <w:spacing w:afterAutospacing="0" w:line="360" w:lineRule="auto"/>
              <w:jc w:val="both"/>
              <w:textAlignment w:val="auto"/>
              <w:rPr>
                <w:rFonts w:hint="default" w:eastAsia="仿宋_GB2312" w:cs="Times New Roman"/>
                <w:i w:val="0"/>
                <w:iCs w:val="0"/>
                <w:color w:val="auto"/>
                <w:spacing w:val="0"/>
                <w:w w:val="100"/>
                <w:kern w:val="0"/>
                <w:sz w:val="24"/>
                <w:szCs w:val="24"/>
                <w:highlight w:val="none"/>
                <w:u w:val="none"/>
                <w:lang w:val="en-US" w:eastAsia="zh-CN" w:bidi="ar"/>
              </w:rPr>
            </w:pPr>
            <w:r>
              <w:rPr>
                <w:rFonts w:hint="eastAsia" w:eastAsia="仿宋_GB2312" w:cs="Times New Roman"/>
                <w:i w:val="0"/>
                <w:iCs w:val="0"/>
                <w:color w:val="auto"/>
                <w:spacing w:val="0"/>
                <w:w w:val="100"/>
                <w:kern w:val="0"/>
                <w:sz w:val="24"/>
                <w:szCs w:val="24"/>
                <w:highlight w:val="none"/>
                <w:u w:val="none"/>
                <w:lang w:val="en-US" w:eastAsia="zh-CN" w:bidi="ar"/>
              </w:rPr>
              <w:t>2.2024年市本级统筹高质量产业项目：2个；</w:t>
            </w:r>
          </w:p>
          <w:p w14:paraId="46A4CC10">
            <w:pPr>
              <w:keepNext w:val="0"/>
              <w:keepLines w:val="0"/>
              <w:pageBreakBefore w:val="0"/>
              <w:widowControl w:val="0"/>
              <w:kinsoku/>
              <w:wordWrap/>
              <w:overflowPunct w:val="0"/>
              <w:topLinePunct w:val="0"/>
              <w:bidi w:val="0"/>
              <w:spacing w:afterAutospacing="0" w:line="360" w:lineRule="auto"/>
              <w:jc w:val="both"/>
              <w:textAlignment w:val="auto"/>
              <w:rPr>
                <w:rFonts w:hint="eastAsia" w:eastAsia="仿宋_GB2312" w:cs="Times New Roman"/>
                <w:i w:val="0"/>
                <w:iCs w:val="0"/>
                <w:color w:val="auto"/>
                <w:spacing w:val="0"/>
                <w:w w:val="100"/>
                <w:kern w:val="0"/>
                <w:sz w:val="24"/>
                <w:szCs w:val="24"/>
                <w:highlight w:val="none"/>
                <w:u w:val="none"/>
                <w:lang w:val="en-US" w:eastAsia="zh-CN" w:bidi="ar"/>
              </w:rPr>
            </w:pPr>
            <w:r>
              <w:rPr>
                <w:rFonts w:hint="eastAsia" w:eastAsia="仿宋_GB2312" w:cs="Times New Roman"/>
                <w:b w:val="0"/>
                <w:bCs w:val="0"/>
                <w:i w:val="0"/>
                <w:iCs w:val="0"/>
                <w:color w:val="auto"/>
                <w:spacing w:val="0"/>
                <w:w w:val="100"/>
                <w:kern w:val="0"/>
                <w:sz w:val="24"/>
                <w:szCs w:val="24"/>
                <w:highlight w:val="none"/>
                <w:u w:val="none"/>
                <w:lang w:val="en-US" w:eastAsia="zh-CN" w:bidi="ar"/>
              </w:rPr>
              <w:t>3.收回资金在</w:t>
            </w:r>
            <w:r>
              <w:rPr>
                <w:rFonts w:hint="eastAsia" w:eastAsia="仿宋_GB2312" w:cs="Times New Roman"/>
                <w:i w:val="0"/>
                <w:iCs w:val="0"/>
                <w:color w:val="auto"/>
                <w:spacing w:val="0"/>
                <w:w w:val="100"/>
                <w:kern w:val="0"/>
                <w:sz w:val="24"/>
                <w:szCs w:val="24"/>
                <w:highlight w:val="none"/>
                <w:u w:val="none"/>
                <w:lang w:val="en-US" w:eastAsia="zh-CN" w:bidi="ar"/>
              </w:rPr>
              <w:t>2024年内重新铺排产业项目：10个；</w:t>
            </w:r>
          </w:p>
          <w:p w14:paraId="379D380B">
            <w:pPr>
              <w:keepNext w:val="0"/>
              <w:keepLines w:val="0"/>
              <w:pageBreakBefore w:val="0"/>
              <w:widowControl w:val="0"/>
              <w:kinsoku/>
              <w:wordWrap/>
              <w:overflowPunct w:val="0"/>
              <w:topLinePunct w:val="0"/>
              <w:bidi w:val="0"/>
              <w:spacing w:afterAutospacing="0" w:line="360" w:lineRule="auto"/>
              <w:jc w:val="left"/>
              <w:textAlignment w:val="auto"/>
              <w:rPr>
                <w:rFonts w:hint="default" w:eastAsia="仿宋_GB2312" w:cs="Times New Roman"/>
                <w:i w:val="0"/>
                <w:iCs w:val="0"/>
                <w:color w:val="auto"/>
                <w:spacing w:val="0"/>
                <w:w w:val="100"/>
                <w:kern w:val="0"/>
                <w:sz w:val="24"/>
                <w:szCs w:val="24"/>
                <w:highlight w:val="none"/>
                <w:u w:val="none"/>
                <w:lang w:val="en-US" w:eastAsia="zh-CN" w:bidi="ar"/>
              </w:rPr>
            </w:pPr>
            <w:r>
              <w:rPr>
                <w:rFonts w:hint="eastAsia" w:eastAsia="仿宋_GB2312" w:cs="Times New Roman"/>
                <w:i w:val="0"/>
                <w:iCs w:val="0"/>
                <w:color w:val="auto"/>
                <w:spacing w:val="0"/>
                <w:w w:val="100"/>
                <w:kern w:val="0"/>
                <w:sz w:val="24"/>
                <w:szCs w:val="24"/>
                <w:highlight w:val="none"/>
                <w:u w:val="none"/>
                <w:lang w:val="en-US" w:eastAsia="zh-CN" w:bidi="ar"/>
              </w:rPr>
              <w:t>4.2024年高质量产业项目：25个；</w:t>
            </w:r>
          </w:p>
          <w:p w14:paraId="2B884886">
            <w:pPr>
              <w:keepNext w:val="0"/>
              <w:keepLines w:val="0"/>
              <w:pageBreakBefore w:val="0"/>
              <w:widowControl w:val="0"/>
              <w:kinsoku/>
              <w:wordWrap/>
              <w:overflowPunct w:val="0"/>
              <w:topLinePunct w:val="0"/>
              <w:bidi w:val="0"/>
              <w:spacing w:afterAutospacing="0" w:line="360" w:lineRule="auto"/>
              <w:jc w:val="left"/>
              <w:textAlignment w:val="auto"/>
              <w:rPr>
                <w:rFonts w:hint="eastAsia" w:eastAsia="仿宋_GB2312" w:cs="Times New Roman"/>
                <w:i w:val="0"/>
                <w:iCs w:val="0"/>
                <w:color w:val="auto"/>
                <w:spacing w:val="0"/>
                <w:w w:val="100"/>
                <w:kern w:val="0"/>
                <w:sz w:val="24"/>
                <w:szCs w:val="24"/>
                <w:highlight w:val="none"/>
                <w:u w:val="none"/>
                <w:lang w:val="en-US" w:eastAsia="zh-CN" w:bidi="ar"/>
              </w:rPr>
            </w:pPr>
            <w:r>
              <w:rPr>
                <w:rFonts w:hint="eastAsia" w:eastAsia="仿宋_GB2312" w:cs="Times New Roman"/>
                <w:i w:val="0"/>
                <w:iCs w:val="0"/>
                <w:color w:val="auto"/>
                <w:spacing w:val="0"/>
                <w:w w:val="100"/>
                <w:kern w:val="0"/>
                <w:sz w:val="24"/>
                <w:szCs w:val="24"/>
                <w:highlight w:val="none"/>
                <w:u w:val="none"/>
                <w:lang w:val="en-US" w:eastAsia="zh-CN" w:bidi="ar"/>
              </w:rPr>
              <w:t>5</w:t>
            </w:r>
            <w:r>
              <w:rPr>
                <w:rFonts w:hint="eastAsia" w:hAnsi="宋体" w:eastAsia="仿宋_GB2312" w:cs="Times New Roman"/>
                <w:i w:val="0"/>
                <w:iCs w:val="0"/>
                <w:color w:val="auto"/>
                <w:spacing w:val="0"/>
                <w:w w:val="100"/>
                <w:kern w:val="0"/>
                <w:sz w:val="24"/>
                <w:szCs w:val="24"/>
                <w:highlight w:val="none"/>
                <w:u w:val="none"/>
                <w:lang w:val="en-US" w:eastAsia="zh-CN" w:bidi="ar"/>
              </w:rPr>
              <w:t>.2024年高质量庭院经济项目：</w:t>
            </w:r>
            <w:r>
              <w:rPr>
                <w:rFonts w:hint="eastAsia" w:eastAsia="仿宋_GB2312" w:cs="Times New Roman"/>
                <w:i w:val="0"/>
                <w:iCs w:val="0"/>
                <w:color w:val="auto"/>
                <w:spacing w:val="0"/>
                <w:w w:val="100"/>
                <w:kern w:val="0"/>
                <w:sz w:val="24"/>
                <w:szCs w:val="24"/>
                <w:highlight w:val="none"/>
                <w:u w:val="none"/>
                <w:lang w:val="en-US" w:eastAsia="zh-CN" w:bidi="ar"/>
              </w:rPr>
              <w:t>25</w:t>
            </w:r>
            <w:r>
              <w:rPr>
                <w:rFonts w:hint="eastAsia" w:hAnsi="宋体" w:eastAsia="仿宋_GB2312" w:cs="Times New Roman"/>
                <w:i w:val="0"/>
                <w:iCs w:val="0"/>
                <w:color w:val="auto"/>
                <w:spacing w:val="0"/>
                <w:w w:val="100"/>
                <w:kern w:val="0"/>
                <w:sz w:val="24"/>
                <w:szCs w:val="24"/>
                <w:highlight w:val="none"/>
                <w:u w:val="none"/>
                <w:lang w:val="en-US" w:eastAsia="zh-CN" w:bidi="ar"/>
              </w:rPr>
              <w:t>个。</w:t>
            </w:r>
            <w:r>
              <w:rPr>
                <w:rFonts w:hint="eastAsia" w:eastAsia="仿宋_GB2312" w:cs="Times New Roman"/>
                <w:i w:val="0"/>
                <w:iCs w:val="0"/>
                <w:color w:val="auto"/>
                <w:spacing w:val="0"/>
                <w:w w:val="100"/>
                <w:kern w:val="0"/>
                <w:sz w:val="24"/>
                <w:szCs w:val="24"/>
                <w:highlight w:val="none"/>
                <w:u w:val="none"/>
                <w:lang w:val="en-US" w:eastAsia="zh-CN" w:bidi="ar"/>
              </w:rPr>
              <w:br w:type="textWrapping"/>
            </w:r>
            <w:r>
              <w:rPr>
                <w:rFonts w:hint="eastAsia" w:hAnsi="宋体" w:eastAsia="仿宋_GB2312" w:cs="Times New Roman"/>
                <w:b/>
                <w:bCs/>
                <w:i w:val="0"/>
                <w:iCs w:val="0"/>
                <w:color w:val="auto"/>
                <w:spacing w:val="0"/>
                <w:w w:val="100"/>
                <w:kern w:val="0"/>
                <w:sz w:val="24"/>
                <w:szCs w:val="24"/>
                <w:highlight w:val="none"/>
                <w:u w:val="none"/>
                <w:lang w:val="en-US" w:eastAsia="zh-CN" w:bidi="ar"/>
              </w:rPr>
              <w:t>合计复核项目：69个。</w:t>
            </w:r>
          </w:p>
          <w:p w14:paraId="33256F77">
            <w:pPr>
              <w:keepNext w:val="0"/>
              <w:keepLines w:val="0"/>
              <w:pageBreakBefore w:val="0"/>
              <w:kinsoku/>
              <w:wordWrap/>
              <w:topLinePunct w:val="0"/>
              <w:autoSpaceDE/>
              <w:autoSpaceDN/>
              <w:bidi w:val="0"/>
              <w:spacing w:line="360" w:lineRule="auto"/>
              <w:ind w:left="-283" w:right="-283"/>
              <w:jc w:val="left"/>
              <w:textAlignment w:val="auto"/>
              <w:rPr>
                <w:rFonts w:ascii="仿宋_GB2312" w:hAnsi="仿宋_GB2312" w:eastAsia="仿宋_GB2312" w:cs="仿宋_GB2312"/>
                <w:sz w:val="28"/>
                <w:szCs w:val="28"/>
              </w:rPr>
            </w:pPr>
          </w:p>
        </w:tc>
        <w:tc>
          <w:tcPr>
            <w:tcW w:w="593" w:type="dxa"/>
            <w:tcBorders>
              <w:top w:val="single" w:color="000000" w:sz="6" w:space="0"/>
              <w:left w:val="single" w:color="000000" w:sz="6" w:space="0"/>
              <w:bottom w:val="single" w:color="000000" w:sz="6" w:space="0"/>
              <w:right w:val="single" w:color="000000" w:sz="6" w:space="0"/>
            </w:tcBorders>
            <w:tcMar>
              <w:left w:w="108" w:type="dxa"/>
              <w:right w:w="108" w:type="dxa"/>
            </w:tcMar>
            <w:vAlign w:val="center"/>
          </w:tcPr>
          <w:p w14:paraId="1002B10A">
            <w:pPr>
              <w:keepNext w:val="0"/>
              <w:keepLines w:val="0"/>
              <w:pageBreakBefore w:val="0"/>
              <w:kinsoku/>
              <w:wordWrap/>
              <w:topLinePunct w:val="0"/>
              <w:autoSpaceDE/>
              <w:autoSpaceDN/>
              <w:bidi w:val="0"/>
              <w:spacing w:line="360" w:lineRule="auto"/>
              <w:ind w:right="-283"/>
              <w:jc w:val="both"/>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6</w:t>
            </w:r>
            <w:r>
              <w:rPr>
                <w:rFonts w:hint="eastAsia" w:ascii="仿宋_GB2312" w:hAnsi="仿宋_GB2312" w:eastAsia="仿宋_GB2312" w:cs="仿宋_GB2312"/>
                <w:sz w:val="28"/>
                <w:szCs w:val="28"/>
              </w:rPr>
              <w:t>9</w:t>
            </w:r>
          </w:p>
        </w:tc>
        <w:tc>
          <w:tcPr>
            <w:tcW w:w="1227" w:type="dxa"/>
            <w:tcBorders>
              <w:top w:val="single" w:color="000000" w:sz="6" w:space="0"/>
              <w:left w:val="single" w:color="000000" w:sz="6" w:space="0"/>
              <w:bottom w:val="single" w:color="000000" w:sz="6" w:space="0"/>
              <w:right w:val="single" w:color="000000" w:sz="8" w:space="0"/>
            </w:tcBorders>
            <w:tcMar>
              <w:left w:w="108" w:type="dxa"/>
              <w:right w:w="108" w:type="dxa"/>
            </w:tcMar>
            <w:vAlign w:val="center"/>
          </w:tcPr>
          <w:p w14:paraId="7F5BA1DE">
            <w:pPr>
              <w:keepNext w:val="0"/>
              <w:keepLines w:val="0"/>
              <w:pageBreakBefore w:val="0"/>
              <w:kinsoku/>
              <w:wordWrap/>
              <w:topLinePunct w:val="0"/>
              <w:autoSpaceDE/>
              <w:autoSpaceDN/>
              <w:bidi w:val="0"/>
              <w:spacing w:line="360" w:lineRule="auto"/>
              <w:ind w:right="-283" w:firstLine="280" w:firstLineChars="100"/>
              <w:jc w:val="both"/>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18</w:t>
            </w:r>
            <w:r>
              <w:rPr>
                <w:rFonts w:hint="eastAsia" w:ascii="仿宋_GB2312" w:hAnsi="仿宋_GB2312" w:eastAsia="仿宋_GB2312" w:cs="仿宋_GB2312"/>
                <w:sz w:val="28"/>
                <w:szCs w:val="28"/>
              </w:rPr>
              <w:t>50</w:t>
            </w:r>
          </w:p>
        </w:tc>
        <w:tc>
          <w:tcPr>
            <w:tcW w:w="1267" w:type="dxa"/>
            <w:tcBorders>
              <w:top w:val="single" w:color="000000" w:sz="6" w:space="0"/>
              <w:left w:val="single" w:color="000000" w:sz="6" w:space="0"/>
              <w:bottom w:val="single" w:color="000000" w:sz="6" w:space="0"/>
              <w:right w:val="single" w:color="000000" w:sz="8" w:space="0"/>
            </w:tcBorders>
            <w:tcMar>
              <w:left w:w="108" w:type="dxa"/>
              <w:right w:w="108" w:type="dxa"/>
            </w:tcMar>
            <w:vAlign w:val="center"/>
          </w:tcPr>
          <w:p w14:paraId="098C7737">
            <w:pPr>
              <w:keepNext w:val="0"/>
              <w:keepLines w:val="0"/>
              <w:pageBreakBefore w:val="0"/>
              <w:kinsoku/>
              <w:wordWrap/>
              <w:topLinePunct w:val="0"/>
              <w:autoSpaceDE/>
              <w:autoSpaceDN/>
              <w:bidi w:val="0"/>
              <w:spacing w:line="360" w:lineRule="auto"/>
              <w:ind w:right="-283"/>
              <w:jc w:val="both"/>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127650</w:t>
            </w:r>
          </w:p>
        </w:tc>
      </w:tr>
    </w:tbl>
    <w:p w14:paraId="602F9953">
      <w:pPr>
        <w:keepNext w:val="0"/>
        <w:keepLines w:val="0"/>
        <w:pageBreakBefore w:val="0"/>
        <w:widowControl w:val="0"/>
        <w:kinsoku/>
        <w:wordWrap/>
        <w:overflowPunct/>
        <w:topLinePunct w:val="0"/>
        <w:bidi w:val="0"/>
        <w:spacing w:line="360" w:lineRule="auto"/>
        <w:ind w:firstLine="640"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说明：</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上述费用包括项目复核（审计）过程中发生的服务费、交通费、食宿费、资料费等，委托方不另行承担其他任何费用；</w:t>
      </w:r>
    </w:p>
    <w:p w14:paraId="4045792D">
      <w:pPr>
        <w:keepNext w:val="0"/>
        <w:keepLines w:val="0"/>
        <w:pageBreakBefore w:val="0"/>
        <w:widowControl w:val="0"/>
        <w:kinsoku/>
        <w:wordWrap/>
        <w:overflowPunct/>
        <w:topLinePunct w:val="0"/>
        <w:bidi w:val="0"/>
        <w:spacing w:line="360" w:lineRule="auto"/>
        <w:ind w:firstLine="640"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2.根据工作实际需要，在项目总量不变的情况下，委托方可对验收复核项目进行适当调整。</w:t>
      </w:r>
    </w:p>
    <w:p w14:paraId="0C1F332A">
      <w:pPr>
        <w:keepNext w:val="0"/>
        <w:keepLines w:val="0"/>
        <w:pageBreakBefore w:val="0"/>
        <w:numPr>
          <w:ilvl w:val="0"/>
          <w:numId w:val="0"/>
        </w:numPr>
        <w:kinsoku/>
        <w:wordWrap/>
        <w:topLinePunct w:val="0"/>
        <w:autoSpaceDE/>
        <w:autoSpaceDN/>
        <w:bidi w:val="0"/>
        <w:spacing w:line="360" w:lineRule="auto"/>
        <w:ind w:right="-283" w:rightChars="0" w:firstLine="643" w:firstLineChars="200"/>
        <w:jc w:val="left"/>
        <w:textAlignment w:val="auto"/>
        <w:rPr>
          <w:rFonts w:hint="eastAsia" w:ascii="黑体" w:hAnsi="黑体" w:eastAsia="黑体" w:cs="黑体"/>
          <w:b/>
          <w:sz w:val="32"/>
          <w:szCs w:val="32"/>
          <w:lang w:eastAsia="zh-CN"/>
        </w:rPr>
      </w:pPr>
      <w:r>
        <w:rPr>
          <w:rFonts w:hint="eastAsia" w:ascii="黑体" w:hAnsi="黑体" w:eastAsia="黑体" w:cs="黑体"/>
          <w:b/>
          <w:sz w:val="32"/>
          <w:szCs w:val="32"/>
          <w:lang w:eastAsia="zh-CN"/>
        </w:rPr>
        <w:t>二、</w:t>
      </w:r>
      <w:r>
        <w:rPr>
          <w:rFonts w:hint="eastAsia" w:ascii="黑体" w:hAnsi="黑体" w:eastAsia="黑体" w:cs="黑体"/>
          <w:b/>
          <w:sz w:val="32"/>
          <w:szCs w:val="32"/>
        </w:rPr>
        <w:t>供应商资质</w:t>
      </w:r>
      <w:r>
        <w:rPr>
          <w:rFonts w:hint="eastAsia" w:ascii="黑体" w:hAnsi="黑体" w:eastAsia="黑体" w:cs="黑体"/>
          <w:b/>
          <w:sz w:val="32"/>
          <w:szCs w:val="32"/>
          <w:lang w:eastAsia="zh-CN"/>
        </w:rPr>
        <w:t>及条件</w:t>
      </w:r>
    </w:p>
    <w:p w14:paraId="5CE35CB2">
      <w:pPr>
        <w:keepNext w:val="0"/>
        <w:keepLines w:val="0"/>
        <w:pageBreakBefore w:val="0"/>
        <w:numPr>
          <w:ilvl w:val="0"/>
          <w:numId w:val="0"/>
        </w:numPr>
        <w:kinsoku/>
        <w:wordWrap/>
        <w:topLinePunct w:val="0"/>
        <w:autoSpaceDE/>
        <w:autoSpaceDN/>
        <w:bidi w:val="0"/>
        <w:spacing w:line="360" w:lineRule="auto"/>
        <w:ind w:right="-283" w:rightChars="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1.投标人应为具有从事审计业务执业资质、出具具有法律效力的审计报告的专业单位；</w:t>
      </w:r>
      <w:r>
        <w:rPr>
          <w:rFonts w:hint="eastAsia" w:ascii="仿宋_GB2312" w:hAnsi="仿宋_GB2312" w:eastAsia="仿宋_GB2312" w:cs="仿宋_GB2312"/>
          <w:sz w:val="32"/>
          <w:szCs w:val="32"/>
          <w:lang w:val="en-US" w:eastAsia="zh-CN"/>
        </w:rPr>
        <w:br w:type="textWrapping"/>
      </w:r>
      <w:r>
        <w:rPr>
          <w:rFonts w:hint="eastAsia" w:ascii="仿宋_GB2312" w:hAnsi="仿宋_GB2312" w:eastAsia="仿宋_GB2312" w:cs="仿宋_GB2312"/>
          <w:sz w:val="32"/>
          <w:szCs w:val="32"/>
          <w:lang w:val="en-US" w:eastAsia="zh-CN"/>
        </w:rPr>
        <w:t xml:space="preserve">    2.投标人具有从事相同或相近类别业务工作经验，提供相同或相近类别工作业绩资料（或成果）文件；</w:t>
      </w:r>
    </w:p>
    <w:p w14:paraId="3219A6DB">
      <w:pPr>
        <w:keepNext w:val="0"/>
        <w:keepLines w:val="0"/>
        <w:pageBreakBefore w:val="0"/>
        <w:numPr>
          <w:ilvl w:val="0"/>
          <w:numId w:val="0"/>
        </w:numPr>
        <w:kinsoku/>
        <w:wordWrap/>
        <w:topLinePunct w:val="0"/>
        <w:autoSpaceDE/>
        <w:autoSpaceDN/>
        <w:bidi w:val="0"/>
        <w:spacing w:line="360" w:lineRule="auto"/>
        <w:ind w:right="-283" w:rightChars="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3.投标人没有承接委托方所辖区域内由项目所属乡镇委托开展的2024年相关产业发展项目验收业务；</w:t>
      </w:r>
    </w:p>
    <w:p w14:paraId="0534A29A">
      <w:pPr>
        <w:keepNext w:val="0"/>
        <w:keepLines w:val="0"/>
        <w:pageBreakBefore w:val="0"/>
        <w:numPr>
          <w:ilvl w:val="0"/>
          <w:numId w:val="0"/>
        </w:numPr>
        <w:kinsoku/>
        <w:wordWrap/>
        <w:topLinePunct w:val="0"/>
        <w:autoSpaceDE/>
        <w:autoSpaceDN/>
        <w:bidi w:val="0"/>
        <w:spacing w:line="360" w:lineRule="auto"/>
        <w:ind w:right="-283" w:rightChars="0" w:firstLine="640"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4.中标人应在委托方所在地设立必要的办公场所，且具有较为完备的办公条件，便于及时传递资料，确保高效开展工作。</w:t>
      </w:r>
    </w:p>
    <w:p w14:paraId="04F1E331">
      <w:pPr>
        <w:keepNext w:val="0"/>
        <w:keepLines w:val="0"/>
        <w:pageBreakBefore w:val="0"/>
        <w:numPr>
          <w:ilvl w:val="0"/>
          <w:numId w:val="0"/>
        </w:numPr>
        <w:kinsoku/>
        <w:wordWrap/>
        <w:topLinePunct w:val="0"/>
        <w:autoSpaceDE/>
        <w:autoSpaceDN/>
        <w:bidi w:val="0"/>
        <w:spacing w:line="360" w:lineRule="auto"/>
        <w:ind w:right="-283" w:rightChars="0" w:firstLine="643" w:firstLineChars="200"/>
        <w:jc w:val="left"/>
        <w:textAlignment w:val="auto"/>
        <w:rPr>
          <w:rFonts w:hint="eastAsia" w:ascii="黑体" w:hAnsi="黑体" w:eastAsia="黑体" w:cs="黑体"/>
          <w:b/>
          <w:sz w:val="32"/>
          <w:szCs w:val="32"/>
        </w:rPr>
      </w:pPr>
      <w:r>
        <w:rPr>
          <w:rFonts w:hint="eastAsia" w:ascii="黑体" w:hAnsi="黑体" w:eastAsia="黑体" w:cs="黑体"/>
          <w:b/>
          <w:sz w:val="32"/>
          <w:szCs w:val="32"/>
          <w:lang w:eastAsia="zh-CN"/>
        </w:rPr>
        <w:t>三、业务</w:t>
      </w:r>
      <w:r>
        <w:rPr>
          <w:rFonts w:hint="eastAsia" w:ascii="黑体" w:hAnsi="黑体" w:eastAsia="黑体" w:cs="黑体"/>
          <w:b/>
          <w:sz w:val="32"/>
          <w:szCs w:val="32"/>
        </w:rPr>
        <w:t>内容</w:t>
      </w:r>
    </w:p>
    <w:p w14:paraId="1E4D37CC">
      <w:pPr>
        <w:keepNext w:val="0"/>
        <w:keepLines w:val="0"/>
        <w:pageBreakBefore w:val="0"/>
        <w:numPr>
          <w:ilvl w:val="0"/>
          <w:numId w:val="2"/>
        </w:numPr>
        <w:kinsoku/>
        <w:wordWrap/>
        <w:topLinePunct w:val="0"/>
        <w:autoSpaceDE/>
        <w:autoSpaceDN/>
        <w:bidi w:val="0"/>
        <w:spacing w:line="360" w:lineRule="auto"/>
        <w:ind w:right="-283" w:firstLine="482" w:firstLineChars="150"/>
        <w:jc w:val="left"/>
        <w:textAlignment w:val="auto"/>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审核项目资料</w:t>
      </w:r>
    </w:p>
    <w:p w14:paraId="447F0836">
      <w:pPr>
        <w:keepNext w:val="0"/>
        <w:keepLines w:val="0"/>
        <w:pageBreakBefore w:val="0"/>
        <w:numPr>
          <w:ilvl w:val="0"/>
          <w:numId w:val="0"/>
        </w:numPr>
        <w:kinsoku/>
        <w:wordWrap/>
        <w:topLinePunct w:val="0"/>
        <w:autoSpaceDE/>
        <w:autoSpaceDN/>
        <w:bidi w:val="0"/>
        <w:spacing w:line="360" w:lineRule="auto"/>
        <w:ind w:right="-283" w:rightChars="0" w:firstLine="643" w:firstLineChars="200"/>
        <w:jc w:val="left"/>
        <w:textAlignment w:val="auto"/>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lang w:eastAsia="zh-CN"/>
        </w:rPr>
        <w:t>高质量庭院经济项目</w:t>
      </w:r>
    </w:p>
    <w:p w14:paraId="651AEAAE">
      <w:pPr>
        <w:keepNext w:val="0"/>
        <w:keepLines w:val="0"/>
        <w:pageBreakBefore w:val="0"/>
        <w:numPr>
          <w:ilvl w:val="0"/>
          <w:numId w:val="0"/>
        </w:numPr>
        <w:kinsoku/>
        <w:wordWrap/>
        <w:topLinePunct w:val="0"/>
        <w:autoSpaceDE/>
        <w:autoSpaceDN/>
        <w:bidi w:val="0"/>
        <w:spacing w:line="360" w:lineRule="auto"/>
        <w:ind w:right="-283" w:rightChars="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）项目实施主体提供：</w:t>
      </w:r>
      <w:r>
        <w:rPr>
          <w:rFonts w:hint="eastAsia" w:ascii="仿宋_GB2312" w:hAnsi="仿宋_GB2312" w:eastAsia="仿宋_GB2312" w:cs="仿宋_GB2312"/>
          <w:sz w:val="32"/>
          <w:szCs w:val="32"/>
          <w:lang w:val="en-US" w:eastAsia="zh-CN"/>
        </w:rPr>
        <w:t>项目申报材料、项目验收材料。</w:t>
      </w:r>
    </w:p>
    <w:p w14:paraId="7AE411ED">
      <w:pPr>
        <w:keepNext w:val="0"/>
        <w:keepLines w:val="0"/>
        <w:pageBreakBefore w:val="0"/>
        <w:numPr>
          <w:ilvl w:val="0"/>
          <w:numId w:val="0"/>
        </w:numPr>
        <w:kinsoku/>
        <w:wordWrap/>
        <w:topLinePunct w:val="0"/>
        <w:autoSpaceDE/>
        <w:autoSpaceDN/>
        <w:bidi w:val="0"/>
        <w:spacing w:line="360" w:lineRule="auto"/>
        <w:ind w:right="-283" w:rightChars="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（2）责任乡镇提供：乡镇验收报告、高质量庭院经济项目验收入户（电话）调查表、高质量庭院经济项目验收资金核实表。</w:t>
      </w:r>
    </w:p>
    <w:p w14:paraId="538FABC6">
      <w:pPr>
        <w:keepNext w:val="0"/>
        <w:keepLines w:val="0"/>
        <w:pageBreakBefore w:val="0"/>
        <w:numPr>
          <w:ilvl w:val="0"/>
          <w:numId w:val="0"/>
        </w:numPr>
        <w:kinsoku/>
        <w:wordWrap/>
        <w:topLinePunct w:val="0"/>
        <w:autoSpaceDE/>
        <w:autoSpaceDN/>
        <w:bidi w:val="0"/>
        <w:spacing w:line="360" w:lineRule="auto"/>
        <w:ind w:right="-283" w:rightChars="0" w:firstLine="643" w:firstLineChars="200"/>
        <w:jc w:val="left"/>
        <w:textAlignment w:val="auto"/>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2.高质量产业项目</w:t>
      </w:r>
    </w:p>
    <w:p w14:paraId="1BF0E485">
      <w:pPr>
        <w:keepNext w:val="0"/>
        <w:keepLines w:val="0"/>
        <w:pageBreakBefore w:val="0"/>
        <w:numPr>
          <w:ilvl w:val="0"/>
          <w:numId w:val="0"/>
        </w:numPr>
        <w:kinsoku/>
        <w:wordWrap/>
        <w:topLinePunct w:val="0"/>
        <w:autoSpaceDE/>
        <w:autoSpaceDN/>
        <w:bidi w:val="0"/>
        <w:spacing w:line="360" w:lineRule="auto"/>
        <w:ind w:right="-283" w:rightChars="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项目实施主体提供：</w:t>
      </w:r>
      <w:r>
        <w:rPr>
          <w:rFonts w:hint="eastAsia" w:ascii="仿宋_GB2312" w:hAnsi="仿宋_GB2312" w:eastAsia="仿宋_GB2312" w:cs="仿宋_GB2312"/>
          <w:sz w:val="32"/>
          <w:szCs w:val="32"/>
          <w:lang w:val="en-US" w:eastAsia="zh-CN"/>
        </w:rPr>
        <w:t>项目申报材料、项目验收材料。</w:t>
      </w:r>
    </w:p>
    <w:p w14:paraId="0A7EBE37">
      <w:pPr>
        <w:keepNext w:val="0"/>
        <w:keepLines w:val="0"/>
        <w:pageBreakBefore w:val="0"/>
        <w:numPr>
          <w:ilvl w:val="0"/>
          <w:numId w:val="0"/>
        </w:numPr>
        <w:kinsoku/>
        <w:wordWrap/>
        <w:topLinePunct w:val="0"/>
        <w:autoSpaceDE/>
        <w:autoSpaceDN/>
        <w:bidi w:val="0"/>
        <w:spacing w:line="360" w:lineRule="auto"/>
        <w:ind w:right="-283" w:rightChars="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）责任乡镇提供：</w:t>
      </w:r>
      <w:r>
        <w:rPr>
          <w:rFonts w:hint="eastAsia" w:ascii="仿宋_GB2312" w:hAnsi="仿宋_GB2312" w:eastAsia="仿宋_GB2312" w:cs="仿宋_GB2312"/>
          <w:sz w:val="32"/>
          <w:szCs w:val="32"/>
          <w:lang w:val="en-US" w:eastAsia="zh-CN"/>
        </w:rPr>
        <w:t>乡镇验收报告、高质量产业项目帮扶义务履行情况调查表、高质量产业项目验收资金核实表。</w:t>
      </w:r>
    </w:p>
    <w:p w14:paraId="14A84A4A">
      <w:pPr>
        <w:pStyle w:val="4"/>
        <w:keepNext w:val="0"/>
        <w:keepLines w:val="0"/>
        <w:pageBreakBefore w:val="0"/>
        <w:kinsoku/>
        <w:wordWrap/>
        <w:topLinePunct w:val="0"/>
        <w:bidi w:val="0"/>
        <w:spacing w:line="360" w:lineRule="auto"/>
        <w:ind w:firstLine="640"/>
        <w:textAlignment w:val="auto"/>
        <w:rPr>
          <w:rFonts w:hint="eastAsia" w:ascii="宋体" w:hAnsi="宋体" w:eastAsia="宋体" w:cs="宋体"/>
          <w:b/>
          <w:color w:val="000000" w:themeColor="text1"/>
          <w:sz w:val="32"/>
          <w:szCs w:val="32"/>
          <w:lang w:eastAsia="zh-CN"/>
        </w:rPr>
      </w:pPr>
      <w:r>
        <w:rPr>
          <w:rFonts w:hint="eastAsia" w:ascii="宋体" w:hAnsi="宋体" w:eastAsia="宋体" w:cs="宋体"/>
          <w:b/>
          <w:color w:val="000000" w:themeColor="text1"/>
          <w:sz w:val="32"/>
          <w:szCs w:val="32"/>
        </w:rPr>
        <w:t>（</w:t>
      </w:r>
      <w:r>
        <w:rPr>
          <w:rFonts w:hint="eastAsia" w:ascii="宋体" w:hAnsi="宋体" w:eastAsia="宋体" w:cs="宋体"/>
          <w:b/>
          <w:color w:val="000000" w:themeColor="text1"/>
          <w:sz w:val="32"/>
          <w:szCs w:val="32"/>
          <w:lang w:eastAsia="zh-CN"/>
        </w:rPr>
        <w:t>二</w:t>
      </w:r>
      <w:r>
        <w:rPr>
          <w:rFonts w:hint="eastAsia" w:ascii="宋体" w:hAnsi="宋体" w:eastAsia="宋体" w:cs="宋体"/>
          <w:b/>
          <w:color w:val="000000" w:themeColor="text1"/>
          <w:sz w:val="32"/>
          <w:szCs w:val="32"/>
        </w:rPr>
        <w:t>）</w:t>
      </w:r>
      <w:r>
        <w:rPr>
          <w:rFonts w:hint="eastAsia" w:ascii="宋体" w:hAnsi="宋体" w:eastAsia="宋体" w:cs="宋体"/>
          <w:b/>
          <w:color w:val="000000" w:themeColor="text1"/>
          <w:sz w:val="32"/>
          <w:szCs w:val="32"/>
          <w:lang w:eastAsia="zh-CN"/>
        </w:rPr>
        <w:t>现场核查评估</w:t>
      </w:r>
    </w:p>
    <w:p w14:paraId="337785ED">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以实施成效为导向，根据</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申报</w:t>
      </w:r>
      <w:r>
        <w:rPr>
          <w:rFonts w:hint="eastAsia" w:ascii="仿宋_GB2312" w:hAnsi="仿宋_GB2312" w:eastAsia="仿宋_GB2312" w:cs="仿宋_GB2312"/>
          <w:sz w:val="32"/>
          <w:szCs w:val="32"/>
          <w:lang w:eastAsia="zh-CN"/>
        </w:rPr>
        <w:t>内容与乡镇验收情况，通过审核项目</w:t>
      </w:r>
      <w:r>
        <w:rPr>
          <w:rFonts w:hint="eastAsia" w:ascii="仿宋_GB2312" w:hAnsi="仿宋_GB2312" w:eastAsia="仿宋_GB2312" w:cs="仿宋_GB2312"/>
          <w:sz w:val="32"/>
          <w:szCs w:val="32"/>
        </w:rPr>
        <w:t>资料、</w:t>
      </w:r>
      <w:r>
        <w:rPr>
          <w:rFonts w:hint="eastAsia" w:ascii="仿宋_GB2312" w:hAnsi="仿宋_GB2312" w:eastAsia="仿宋_GB2312" w:cs="仿宋_GB2312"/>
          <w:sz w:val="32"/>
          <w:szCs w:val="32"/>
          <w:lang w:eastAsia="zh-CN"/>
        </w:rPr>
        <w:t>核查项目</w:t>
      </w:r>
      <w:r>
        <w:rPr>
          <w:rFonts w:hint="eastAsia" w:ascii="仿宋_GB2312" w:hAnsi="仿宋_GB2312" w:eastAsia="仿宋_GB2312" w:cs="仿宋_GB2312"/>
          <w:sz w:val="32"/>
          <w:szCs w:val="32"/>
        </w:rPr>
        <w:t>现场、</w:t>
      </w:r>
      <w:r>
        <w:rPr>
          <w:rFonts w:hint="eastAsia" w:ascii="仿宋_GB2312" w:hAnsi="仿宋_GB2312" w:eastAsia="仿宋_GB2312" w:cs="仿宋_GB2312"/>
          <w:sz w:val="32"/>
          <w:szCs w:val="32"/>
          <w:lang w:eastAsia="zh-CN"/>
        </w:rPr>
        <w:t>开展</w:t>
      </w:r>
      <w:r>
        <w:rPr>
          <w:rFonts w:hint="eastAsia" w:ascii="仿宋_GB2312" w:hAnsi="仿宋_GB2312" w:eastAsia="仿宋_GB2312" w:cs="仿宋_GB2312"/>
          <w:sz w:val="32"/>
          <w:szCs w:val="32"/>
        </w:rPr>
        <w:t>入户调查和电话抽查相结合</w:t>
      </w:r>
      <w:r>
        <w:rPr>
          <w:rFonts w:hint="eastAsia" w:ascii="仿宋_GB2312" w:hAnsi="仿宋_GB2312" w:eastAsia="仿宋_GB2312" w:cs="仿宋_GB2312"/>
          <w:sz w:val="32"/>
          <w:szCs w:val="32"/>
          <w:lang w:eastAsia="zh-CN"/>
        </w:rPr>
        <w:t>等方式</w:t>
      </w:r>
      <w:r>
        <w:rPr>
          <w:rFonts w:hint="eastAsia" w:ascii="仿宋_GB2312" w:hAnsi="仿宋_GB2312" w:eastAsia="仿宋_GB2312" w:cs="仿宋_GB2312"/>
          <w:sz w:val="32"/>
          <w:szCs w:val="32"/>
        </w:rPr>
        <w:t>，对项目</w:t>
      </w:r>
      <w:r>
        <w:rPr>
          <w:rFonts w:hint="eastAsia" w:ascii="仿宋_GB2312" w:hAnsi="仿宋_GB2312" w:eastAsia="仿宋_GB2312" w:cs="仿宋_GB2312"/>
          <w:sz w:val="32"/>
          <w:szCs w:val="32"/>
          <w:lang w:eastAsia="zh-CN"/>
        </w:rPr>
        <w:t>实施情况和成效</w:t>
      </w:r>
      <w:r>
        <w:rPr>
          <w:rFonts w:hint="eastAsia" w:ascii="仿宋_GB2312" w:hAnsi="仿宋_GB2312" w:eastAsia="仿宋_GB2312" w:cs="仿宋_GB2312"/>
          <w:sz w:val="32"/>
          <w:szCs w:val="32"/>
        </w:rPr>
        <w:t>进行全面核查</w:t>
      </w:r>
      <w:r>
        <w:rPr>
          <w:rFonts w:hint="eastAsia" w:ascii="仿宋_GB2312" w:hAnsi="仿宋_GB2312" w:eastAsia="仿宋_GB2312" w:cs="仿宋_GB2312"/>
          <w:sz w:val="32"/>
          <w:szCs w:val="32"/>
          <w:lang w:eastAsia="zh-CN"/>
        </w:rPr>
        <w:t>和评估</w:t>
      </w:r>
      <w:r>
        <w:rPr>
          <w:rFonts w:hint="eastAsia" w:ascii="仿宋_GB2312" w:hAnsi="仿宋_GB2312" w:eastAsia="仿宋_GB2312" w:cs="仿宋_GB2312"/>
          <w:sz w:val="32"/>
          <w:szCs w:val="32"/>
        </w:rPr>
        <w:t>。</w:t>
      </w:r>
    </w:p>
    <w:p w14:paraId="766E3EF6">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bidi="ar-SA"/>
        </w:rPr>
        <w:t>要求</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lang w:val="en-US" w:eastAsia="zh-CN" w:bidi="ar-SA"/>
        </w:rPr>
        <w:t>联农带农情况入户调查和电话调查户数合计为100%，</w:t>
      </w:r>
      <w:r>
        <w:rPr>
          <w:rFonts w:hint="eastAsia" w:ascii="仿宋_GB2312" w:hAnsi="仿宋_GB2312" w:eastAsia="仿宋_GB2312" w:cs="仿宋_GB2312"/>
          <w:sz w:val="32"/>
          <w:szCs w:val="32"/>
          <w:lang w:eastAsia="zh-CN"/>
        </w:rPr>
        <w:t>其中：高质量产业项目入户调查率为</w:t>
      </w:r>
      <w:r>
        <w:rPr>
          <w:rFonts w:hint="eastAsia" w:ascii="仿宋_GB2312" w:hAnsi="仿宋_GB2312" w:eastAsia="仿宋_GB2312" w:cs="仿宋_GB2312"/>
          <w:sz w:val="32"/>
          <w:szCs w:val="32"/>
          <w:lang w:val="en-US" w:eastAsia="zh-CN"/>
        </w:rPr>
        <w:t>100%；高质量庭院经济项目入户调查率不低于30%，其他项目入户调查率根据项目实际带动户数参照以上两项目另行约定。具体审核以下内容：</w:t>
      </w:r>
    </w:p>
    <w:p w14:paraId="6694C09F">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1.审查</w:t>
      </w:r>
      <w:r>
        <w:rPr>
          <w:rFonts w:hint="eastAsia" w:ascii="仿宋_GB2312" w:hAnsi="仿宋_GB2312" w:eastAsia="仿宋_GB2312" w:cs="仿宋_GB2312"/>
          <w:sz w:val="32"/>
          <w:szCs w:val="32"/>
          <w:lang w:eastAsia="zh-CN"/>
        </w:rPr>
        <w:t>项目资料是否真实完整</w:t>
      </w:r>
    </w:p>
    <w:p w14:paraId="5655ED46">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对照有关文件要求，查看项目资料是否齐全、是否漏项，是否符合政策要求、是否符合格式要求,审核乡镇验收报告是否符合要求。审查项目实施主体专账是否健全，核算是否真实，财务管理是否规范，支出手续是否齐全，资金支付是否走公账，财务资料是否齐备。财务支付凭证处理要求：</w:t>
      </w:r>
    </w:p>
    <w:p w14:paraId="564E1F80">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工程建设和资产类：增值税发票、项目预算、合同、银行支付凭证、验收资料（工程类要求有甲乙双方签字、货物类要求验收签字）、现场佐证照片（工程类要求施工前、中、后对比照片，大宗物资采购要有购销合同、机器设备类要求资产设备照片）；</w:t>
      </w:r>
    </w:p>
    <w:p w14:paraId="256A9ABD">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（2）劳务类：工资表、工资结算表、收条、支付凭证或银行流水（除小额支出外不得用现金支付）；</w:t>
      </w:r>
    </w:p>
    <w:p w14:paraId="2C74A704">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（3）产品收购类：收购单（包括数量和单价）、银行支付凭证（或流水）；</w:t>
      </w:r>
    </w:p>
    <w:p w14:paraId="60001749">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（4）土地流转类：租赁合同（包括位置、面积、单价、总价）银行支付凭证（或流水）。</w:t>
      </w:r>
    </w:p>
    <w:p w14:paraId="281FE382">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3" w:firstLineChars="200"/>
        <w:jc w:val="both"/>
        <w:textAlignment w:val="auto"/>
        <w:rPr>
          <w:rFonts w:hint="eastAsia" w:eastAsia="仿宋"/>
          <w:b/>
          <w:color w:val="000000" w:themeColor="text1"/>
          <w:sz w:val="32"/>
          <w:szCs w:val="32"/>
        </w:rPr>
      </w:pPr>
      <w:r>
        <w:rPr>
          <w:rFonts w:hint="eastAsia" w:eastAsia="仿宋"/>
          <w:b/>
          <w:color w:val="000000" w:themeColor="text1"/>
          <w:sz w:val="32"/>
          <w:szCs w:val="32"/>
          <w:lang w:val="en-US" w:eastAsia="zh-CN"/>
        </w:rPr>
        <w:t>2.核实</w:t>
      </w:r>
      <w:r>
        <w:rPr>
          <w:rFonts w:hint="eastAsia" w:eastAsia="仿宋"/>
          <w:b/>
          <w:color w:val="000000" w:themeColor="text1"/>
          <w:sz w:val="32"/>
          <w:szCs w:val="32"/>
        </w:rPr>
        <w:t>帮扶对象是否精准到位</w:t>
      </w:r>
    </w:p>
    <w:p w14:paraId="5F019A6B">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通过查看帮扶对象名册，现场核查或电话调查，核实项目实施主体实际带动脱贫户监测户人数情况，是否达到项目要求。</w:t>
      </w:r>
    </w:p>
    <w:p w14:paraId="34A982EB">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3" w:firstLineChars="200"/>
        <w:jc w:val="both"/>
        <w:textAlignment w:val="auto"/>
        <w:rPr>
          <w:rFonts w:hint="eastAsia" w:eastAsia="仿宋"/>
          <w:b/>
          <w:color w:val="000000" w:themeColor="text1"/>
          <w:sz w:val="32"/>
          <w:szCs w:val="32"/>
        </w:rPr>
      </w:pPr>
      <w:r>
        <w:rPr>
          <w:rFonts w:hint="eastAsia" w:eastAsia="仿宋"/>
          <w:b/>
          <w:color w:val="000000" w:themeColor="text1"/>
          <w:sz w:val="32"/>
          <w:szCs w:val="32"/>
          <w:lang w:val="en-US" w:eastAsia="zh-CN"/>
        </w:rPr>
        <w:t>3.核实</w:t>
      </w:r>
      <w:r>
        <w:rPr>
          <w:rFonts w:hint="eastAsia" w:eastAsia="仿宋"/>
          <w:b/>
          <w:color w:val="000000" w:themeColor="text1"/>
          <w:sz w:val="32"/>
          <w:szCs w:val="32"/>
        </w:rPr>
        <w:t>帮扶措施是否具体落实</w:t>
      </w:r>
    </w:p>
    <w:p w14:paraId="3FDF64A1">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查验物资发放与产品回收资料。查验物资发放与产品回收凭证（包括帮扶合同、发票、验收表、物资发放明细表等）以及责任期内物资补充发放情况，并与项目资料进行比对核实，审核票据真实性；</w:t>
      </w:r>
    </w:p>
    <w:p w14:paraId="6957A958">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（2）查看技术指导帮扶情况。公司是否免费提供技术培训或咨询，是否提供上门技术指导服务，以及在实施过程中遇到问题随时接受农户咨询服务情况，并通过联系方式中电话号码进行随机测试；</w:t>
      </w:r>
    </w:p>
    <w:p w14:paraId="57EE376F">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（3）核查工资物资发放情况。通过上门走访或电话调查农户以及查看银行支付凭证等，核实工资实际发放情况。</w:t>
      </w:r>
    </w:p>
    <w:p w14:paraId="47208830">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（4）查看种养设施建设情况。现场查看畜禽饲养场所和种植基地，核实帮助农户修缮栏舍和粪污处理情况以及种植基地设施建设情况。</w:t>
      </w:r>
    </w:p>
    <w:p w14:paraId="0B4E07E7">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3" w:firstLineChars="200"/>
        <w:jc w:val="both"/>
        <w:textAlignment w:val="auto"/>
        <w:rPr>
          <w:rFonts w:hint="eastAsia" w:eastAsia="仿宋"/>
          <w:b/>
          <w:color w:val="000000" w:themeColor="text1"/>
          <w:sz w:val="32"/>
          <w:szCs w:val="32"/>
          <w:lang w:eastAsia="zh-CN"/>
        </w:rPr>
      </w:pPr>
      <w:r>
        <w:rPr>
          <w:rFonts w:hint="eastAsia" w:eastAsia="仿宋"/>
          <w:b/>
          <w:color w:val="000000" w:themeColor="text1"/>
          <w:sz w:val="32"/>
          <w:szCs w:val="32"/>
          <w:lang w:val="en-US" w:eastAsia="zh-CN"/>
        </w:rPr>
        <w:t>4.测算</w:t>
      </w:r>
      <w:r>
        <w:rPr>
          <w:rFonts w:hint="eastAsia" w:eastAsia="仿宋"/>
          <w:b/>
          <w:color w:val="000000" w:themeColor="text1"/>
          <w:sz w:val="32"/>
          <w:szCs w:val="32"/>
        </w:rPr>
        <w:t>增收效益是否达到预期</w:t>
      </w:r>
    </w:p>
    <w:p w14:paraId="32547567">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查阅工资表及银行支付凭证，以及通过上门入户调查或电话调查，核实务工人员工资发放、产品回收和农户自销情况等，据此核定已实现收入或预期收益。</w:t>
      </w:r>
    </w:p>
    <w:p w14:paraId="40769116">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5.核实项目资金是否足额投入</w:t>
      </w:r>
    </w:p>
    <w:p w14:paraId="53C98E31">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通过审查合同、发票、货物验收与物资发放、银行付款凭证等财务资料，以及查看项目建设现场，核实项目建设内容是否按期完成、项目资金是否足额投入。</w:t>
      </w:r>
    </w:p>
    <w:p w14:paraId="3AD63367">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3" w:firstLineChars="200"/>
        <w:jc w:val="both"/>
        <w:textAlignment w:val="auto"/>
        <w:rPr>
          <w:rFonts w:hint="eastAsia" w:eastAsia="仿宋"/>
          <w:b/>
          <w:color w:val="000000" w:themeColor="text1"/>
          <w:sz w:val="32"/>
          <w:szCs w:val="32"/>
        </w:rPr>
      </w:pPr>
      <w:r>
        <w:rPr>
          <w:rFonts w:hint="eastAsia" w:eastAsia="仿宋"/>
          <w:b/>
          <w:color w:val="000000" w:themeColor="text1"/>
          <w:sz w:val="32"/>
          <w:szCs w:val="32"/>
          <w:lang w:val="en-US" w:eastAsia="zh-CN"/>
        </w:rPr>
        <w:t>6.检查</w:t>
      </w:r>
      <w:r>
        <w:rPr>
          <w:rFonts w:hint="eastAsia" w:eastAsia="仿宋"/>
          <w:b/>
          <w:color w:val="000000" w:themeColor="text1"/>
          <w:sz w:val="32"/>
          <w:szCs w:val="32"/>
        </w:rPr>
        <w:t>绩效自评是否科学合理</w:t>
      </w:r>
    </w:p>
    <w:p w14:paraId="16A68A43">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查看项目绩效自评资料是否完整。审核绩效自评表目标设定是否科学合理，各项指标是否细化具体，内容填报是否规范。审核自评报告撰写是否符合要求，各项指标分析是否透彻中肯，自我评价是否客观实在。</w:t>
      </w:r>
    </w:p>
    <w:p w14:paraId="40E65B1A">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3" w:firstLineChars="200"/>
        <w:jc w:val="both"/>
        <w:textAlignment w:val="auto"/>
        <w:rPr>
          <w:rFonts w:hint="default"/>
          <w:lang w:val="en-US" w:eastAsia="zh-CN"/>
        </w:rPr>
      </w:pPr>
      <w:r>
        <w:rPr>
          <w:rFonts w:hint="eastAsia" w:ascii="宋体" w:hAnsi="宋体" w:eastAsia="宋体" w:cs="宋体"/>
          <w:b/>
          <w:bCs/>
          <w:color w:val="000000" w:themeColor="text1"/>
          <w:sz w:val="32"/>
          <w:szCs w:val="32"/>
          <w:lang w:eastAsia="zh-CN"/>
        </w:rPr>
        <w:t>（三）指导项目整改</w:t>
      </w:r>
    </w:p>
    <w:p w14:paraId="0559D969">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针对验收复核（审计）中发现的问题，预计通过整改后可以达到验收标准的项目，代理方要逐一向项目实施主体和相关责任乡镇及时反馈，同时向委托方报告，并根据相关文件要求，负责指导项目实施主体单位落实整改。对预计通过整改仍达不到验收标准的项目，代理方要及时将情况向委托方报告，由委托方督促整改或处置。</w:t>
      </w:r>
    </w:p>
    <w:p w14:paraId="16B69616">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3" w:firstLineChars="200"/>
        <w:jc w:val="both"/>
        <w:textAlignment w:val="auto"/>
        <w:rPr>
          <w:rFonts w:hint="eastAsia" w:ascii="宋体" w:hAnsi="宋体" w:eastAsia="宋体" w:cs="宋体"/>
          <w:b/>
          <w:bCs/>
          <w:color w:val="000000" w:themeColor="text1"/>
          <w:sz w:val="32"/>
          <w:szCs w:val="32"/>
          <w:lang w:val="en-US" w:eastAsia="zh-CN"/>
        </w:rPr>
      </w:pPr>
      <w:r>
        <w:rPr>
          <w:rFonts w:hint="eastAsia" w:ascii="宋体" w:hAnsi="宋体" w:eastAsia="宋体" w:cs="宋体"/>
          <w:b/>
          <w:bCs/>
          <w:color w:val="000000" w:themeColor="text1"/>
          <w:sz w:val="32"/>
          <w:szCs w:val="32"/>
          <w:lang w:val="en-US" w:eastAsia="zh-CN"/>
        </w:rPr>
        <w:t>（四）出具复核（审计）报告</w:t>
      </w:r>
    </w:p>
    <w:p w14:paraId="0D844708">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根据前期的验收复核情况以及项目整改完成情况，分类出具项目验收复核（审计）报告，同时提供验收复核相关材料，包括项目验收复核（审计）报告、项目复核具体情况表、佐证材料和整改建议。 </w:t>
      </w:r>
    </w:p>
    <w:p w14:paraId="3BB5279B">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（一）7个2024年省帮扶产业发展重点项目分别单独出具验收复核报告。一式三份；</w:t>
      </w:r>
    </w:p>
    <w:p w14:paraId="1D53BB09">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（二）2个2024年宁乡市本级统筹高质量产业项目分别单独出具验收审计报告。一式十份；</w:t>
      </w:r>
    </w:p>
    <w:p w14:paraId="0B41E4DF">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（三）10个历年收回产业帮扶资金并在2024年内重新铺排的产业项目合并出具验收复核报告。一式三份；</w:t>
      </w:r>
    </w:p>
    <w:p w14:paraId="58C6E3D2">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（四）25个2024年高质量产业项目合并出具验收复核报告。一式三份；</w:t>
      </w:r>
    </w:p>
    <w:p w14:paraId="7F2D2782">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（五）25个2024年高质量庭院经济项目合并出具验收复核报告。一式三份。 </w:t>
      </w:r>
    </w:p>
    <w:p w14:paraId="7734AC46">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黑体" w:hAnsi="黑体" w:eastAsia="黑体" w:cs="黑体"/>
          <w:b/>
          <w:bCs/>
          <w:color w:val="000000" w:themeColor="text1"/>
          <w:sz w:val="32"/>
          <w:szCs w:val="32"/>
          <w:lang w:val="en-US" w:eastAsia="zh-CN"/>
        </w:rPr>
      </w:pPr>
      <w:r>
        <w:rPr>
          <w:rFonts w:hint="eastAsia" w:ascii="仿宋_GB2312" w:hAnsi="仿宋_GB2312" w:eastAsia="仿宋_GB2312" w:cs="仿宋_GB2312"/>
          <w:sz w:val="32"/>
          <w:szCs w:val="32"/>
          <w:lang w:val="en-US" w:eastAsia="zh-CN"/>
        </w:rPr>
        <w:t xml:space="preserve"> </w:t>
      </w:r>
      <w:r>
        <w:rPr>
          <w:rFonts w:hint="eastAsia" w:ascii="黑体" w:hAnsi="黑体" w:eastAsia="黑体" w:cs="黑体"/>
          <w:b/>
          <w:bCs/>
          <w:color w:val="000000" w:themeColor="text1"/>
          <w:sz w:val="32"/>
          <w:szCs w:val="32"/>
          <w:lang w:val="en-US" w:eastAsia="zh-CN"/>
        </w:rPr>
        <w:t>三、复核时间安排</w:t>
      </w:r>
    </w:p>
    <w:p w14:paraId="173F5A49">
      <w:pPr>
        <w:keepNext w:val="0"/>
        <w:keepLines w:val="0"/>
        <w:pageBreakBefore w:val="0"/>
        <w:widowControl w:val="0"/>
        <w:numPr>
          <w:ilvl w:val="0"/>
          <w:numId w:val="3"/>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项目资料审核及</w:t>
      </w:r>
      <w:r>
        <w:rPr>
          <w:rFonts w:hint="eastAsia" w:ascii="仿宋_GB2312" w:hAnsi="仿宋_GB2312" w:eastAsia="仿宋_GB2312" w:cs="仿宋_GB2312"/>
          <w:sz w:val="32"/>
          <w:szCs w:val="32"/>
        </w:rPr>
        <w:t>现场</w:t>
      </w:r>
      <w:r>
        <w:rPr>
          <w:rFonts w:hint="eastAsia" w:ascii="仿宋_GB2312" w:hAnsi="仿宋_GB2312" w:eastAsia="仿宋_GB2312" w:cs="仿宋_GB2312"/>
          <w:sz w:val="32"/>
          <w:szCs w:val="32"/>
          <w:lang w:eastAsia="zh-CN"/>
        </w:rPr>
        <w:t>核查</w:t>
      </w:r>
      <w:r>
        <w:rPr>
          <w:rFonts w:hint="eastAsia" w:ascii="仿宋_GB2312" w:hAnsi="仿宋_GB2312" w:eastAsia="仿宋_GB2312" w:cs="仿宋_GB2312"/>
          <w:sz w:val="32"/>
          <w:szCs w:val="32"/>
          <w:lang w:val="en-US" w:eastAsia="zh-CN"/>
        </w:rPr>
        <w:t>:2025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19日—8月31日；</w:t>
      </w:r>
    </w:p>
    <w:p w14:paraId="4EFA6485">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黑体" w:hAnsi="黑体" w:eastAsia="黑体" w:cs="黑体"/>
          <w:b/>
          <w:bCs/>
          <w:sz w:val="32"/>
          <w:szCs w:val="32"/>
        </w:rPr>
      </w:pPr>
      <w:r>
        <w:rPr>
          <w:rFonts w:hint="eastAsia" w:ascii="仿宋_GB2312" w:hAnsi="仿宋_GB2312" w:eastAsia="仿宋_GB2312" w:cs="仿宋_GB2312"/>
          <w:sz w:val="32"/>
          <w:szCs w:val="32"/>
          <w:lang w:eastAsia="zh-CN"/>
        </w:rPr>
        <w:t>（二）问题项目整改指导及复查：</w:t>
      </w:r>
      <w:r>
        <w:rPr>
          <w:rFonts w:hint="eastAsia" w:ascii="仿宋_GB2312" w:hAnsi="仿宋_GB2312" w:eastAsia="仿宋_GB2312" w:cs="仿宋_GB2312"/>
          <w:sz w:val="32"/>
          <w:szCs w:val="32"/>
          <w:lang w:val="en-US" w:eastAsia="zh-CN"/>
        </w:rPr>
        <w:t>2025年6月1日至9月30日；</w:t>
      </w:r>
    </w:p>
    <w:p w14:paraId="0AD1DF3D">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rPr>
      </w:pPr>
      <w:r>
        <w:rPr>
          <w:rFonts w:hint="eastAsia" w:ascii="仿宋_GB2312" w:hAnsi="仿宋_GB2312" w:eastAsia="仿宋_GB2312" w:cs="仿宋_GB2312"/>
          <w:sz w:val="32"/>
          <w:szCs w:val="32"/>
          <w:lang w:val="en-US" w:eastAsia="zh-CN"/>
        </w:rPr>
        <w:t>（三）复核（</w:t>
      </w:r>
      <w:r>
        <w:rPr>
          <w:rFonts w:hint="eastAsia" w:ascii="仿宋_GB2312" w:hAnsi="仿宋_GB2312" w:eastAsia="仿宋_GB2312" w:cs="仿宋_GB2312"/>
          <w:sz w:val="32"/>
          <w:szCs w:val="32"/>
          <w:lang w:eastAsia="zh-CN"/>
        </w:rPr>
        <w:t>审计）验收报告编撰：</w:t>
      </w:r>
      <w:r>
        <w:rPr>
          <w:rFonts w:hint="eastAsia" w:ascii="仿宋_GB2312" w:hAnsi="仿宋_GB2312" w:eastAsia="仿宋_GB2312" w:cs="仿宋_GB2312"/>
          <w:sz w:val="32"/>
          <w:szCs w:val="32"/>
          <w:lang w:val="en-US" w:eastAsia="zh-CN"/>
        </w:rPr>
        <w:t>2025年10月15日前。</w:t>
      </w:r>
    </w:p>
    <w:p w14:paraId="5980A142">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黑体" w:hAnsi="黑体" w:eastAsia="黑体" w:cs="黑体"/>
          <w:b/>
          <w:bCs/>
          <w:sz w:val="32"/>
          <w:szCs w:val="32"/>
        </w:rPr>
      </w:pPr>
      <w:r>
        <w:rPr>
          <w:rFonts w:hint="eastAsia" w:ascii="仿宋_GB2312" w:hAnsi="仿宋_GB2312" w:eastAsia="仿宋_GB2312" w:cs="仿宋_GB2312"/>
          <w:sz w:val="32"/>
          <w:szCs w:val="32"/>
          <w:lang w:val="en-US" w:eastAsia="zh-CN"/>
        </w:rPr>
        <w:t xml:space="preserve"> </w:t>
      </w:r>
      <w:r>
        <w:rPr>
          <w:rFonts w:hint="eastAsia" w:ascii="黑体" w:hAnsi="黑体" w:eastAsia="黑体" w:cs="黑体"/>
          <w:b/>
          <w:bCs/>
          <w:sz w:val="32"/>
          <w:szCs w:val="32"/>
          <w:lang w:val="en-US" w:eastAsia="zh-CN"/>
        </w:rPr>
        <w:t>四、</w:t>
      </w:r>
      <w:r>
        <w:rPr>
          <w:rFonts w:hint="eastAsia" w:ascii="黑体" w:hAnsi="黑体" w:eastAsia="黑体" w:cs="黑体"/>
          <w:b/>
          <w:bCs/>
          <w:sz w:val="32"/>
          <w:szCs w:val="32"/>
        </w:rPr>
        <w:t>签约双方的权利和义务</w:t>
      </w:r>
    </w:p>
    <w:p w14:paraId="322E6303">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（一）</w:t>
      </w:r>
      <w:r>
        <w:rPr>
          <w:rFonts w:hint="eastAsia" w:ascii="仿宋_GB2312" w:hAnsi="仿宋_GB2312" w:eastAsia="仿宋_GB2312" w:cs="仿宋_GB2312"/>
          <w:b/>
          <w:bCs/>
          <w:sz w:val="32"/>
          <w:szCs w:val="32"/>
          <w:lang w:eastAsia="zh-CN"/>
        </w:rPr>
        <w:t>委托</w:t>
      </w:r>
      <w:r>
        <w:rPr>
          <w:rFonts w:hint="eastAsia" w:ascii="仿宋_GB2312" w:hAnsi="仿宋_GB2312" w:eastAsia="仿宋_GB2312" w:cs="仿宋_GB2312"/>
          <w:b/>
          <w:bCs/>
          <w:sz w:val="32"/>
          <w:szCs w:val="32"/>
        </w:rPr>
        <w:t>方的权利和义务</w:t>
      </w:r>
    </w:p>
    <w:p w14:paraId="50A171DB">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1.确定验收复核（审计）具体项目，明确项目复核（审计）具体要求，提供项目复核（审计）依据；</w:t>
      </w:r>
    </w:p>
    <w:p w14:paraId="35C5E1B4">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2.调度并督促责任乡镇、项目实施主体单位积极配合工作，及时完整准确提供项目相关资料；</w:t>
      </w:r>
    </w:p>
    <w:p w14:paraId="040EDF4A">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3.协调处理复核（审计）工作中的有关问题；</w:t>
      </w:r>
    </w:p>
    <w:p w14:paraId="2E2195D5">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4.按协议约定支付验收复核服务费用。</w:t>
      </w:r>
    </w:p>
    <w:p w14:paraId="01F48D4F">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（二）</w:t>
      </w:r>
      <w:r>
        <w:rPr>
          <w:rFonts w:hint="eastAsia" w:ascii="仿宋_GB2312" w:hAnsi="仿宋_GB2312" w:eastAsia="仿宋_GB2312" w:cs="仿宋_GB2312"/>
          <w:b/>
          <w:bCs/>
          <w:sz w:val="32"/>
          <w:szCs w:val="32"/>
          <w:lang w:eastAsia="zh-CN"/>
        </w:rPr>
        <w:t>代理</w:t>
      </w:r>
      <w:r>
        <w:rPr>
          <w:rFonts w:hint="eastAsia" w:ascii="仿宋_GB2312" w:hAnsi="仿宋_GB2312" w:eastAsia="仿宋_GB2312" w:cs="仿宋_GB2312"/>
          <w:b/>
          <w:bCs/>
          <w:sz w:val="32"/>
          <w:szCs w:val="32"/>
        </w:rPr>
        <w:t>方的权利和义务</w:t>
      </w:r>
    </w:p>
    <w:p w14:paraId="6DC74963">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1.严格按照验收复核工作的有关规定独立、客观、公正实施；</w:t>
      </w:r>
    </w:p>
    <w:p w14:paraId="0A92BE4A">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2.对验收复核中发现的问题，指导项目实施主体按要求整改；</w:t>
      </w:r>
    </w:p>
    <w:p w14:paraId="22C71989">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3.对验收复核报告的客观性、准确性、真实性负责；</w:t>
      </w:r>
    </w:p>
    <w:p w14:paraId="7A65F40C">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4.按协议约定收取验收复核服务费用；</w:t>
      </w:r>
    </w:p>
    <w:p w14:paraId="7BF0E52F">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5.不得向各相关乡镇及项目实施主体收取服务费用；</w:t>
      </w:r>
    </w:p>
    <w:p w14:paraId="10C74D1E">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6.严格遵守保密制度，严禁对外泄露项目相关信息、项目实施主体商业秘密以及复核（审计）所有内容；</w:t>
      </w:r>
    </w:p>
    <w:p w14:paraId="2D1AB5CB">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7.做好安全防范工作，如发生安全事故，其后果和经济损失由乙方承担。</w:t>
      </w:r>
    </w:p>
    <w:p w14:paraId="63ED95A7">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3" w:firstLineChars="200"/>
        <w:jc w:val="both"/>
        <w:textAlignment w:val="auto"/>
        <w:rPr>
          <w:rFonts w:hint="eastAsia" w:ascii="黑体" w:hAnsi="黑体" w:eastAsia="黑体" w:cs="黑体"/>
          <w:b/>
          <w:sz w:val="32"/>
          <w:szCs w:val="32"/>
          <w:lang w:eastAsia="zh-CN"/>
        </w:rPr>
      </w:pPr>
      <w:r>
        <w:rPr>
          <w:rFonts w:hint="eastAsia" w:ascii="黑体" w:hAnsi="黑体" w:eastAsia="黑体" w:cs="黑体"/>
          <w:b/>
          <w:sz w:val="32"/>
          <w:szCs w:val="32"/>
          <w:lang w:eastAsia="zh-CN"/>
        </w:rPr>
        <w:t>五、价款</w:t>
      </w:r>
      <w:r>
        <w:rPr>
          <w:rFonts w:hint="eastAsia" w:ascii="黑体" w:hAnsi="黑体" w:eastAsia="黑体" w:cs="黑体"/>
          <w:b/>
          <w:sz w:val="32"/>
          <w:szCs w:val="32"/>
        </w:rPr>
        <w:t>结算方</w:t>
      </w:r>
      <w:r>
        <w:rPr>
          <w:rFonts w:hint="eastAsia" w:ascii="黑体" w:hAnsi="黑体" w:eastAsia="黑体" w:cs="黑体"/>
          <w:b/>
          <w:sz w:val="32"/>
          <w:szCs w:val="32"/>
          <w:lang w:eastAsia="zh-CN"/>
        </w:rPr>
        <w:t>式</w:t>
      </w:r>
    </w:p>
    <w:p w14:paraId="11339E65">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委托</w:t>
      </w:r>
      <w:r>
        <w:rPr>
          <w:rFonts w:hint="eastAsia" w:ascii="仿宋_GB2312" w:hAnsi="仿宋_GB2312" w:eastAsia="仿宋_GB2312" w:cs="仿宋_GB2312"/>
          <w:sz w:val="32"/>
          <w:szCs w:val="32"/>
        </w:rPr>
        <w:t>方收到</w:t>
      </w:r>
      <w:r>
        <w:rPr>
          <w:rFonts w:hint="eastAsia" w:ascii="仿宋_GB2312" w:hAnsi="仿宋_GB2312" w:eastAsia="仿宋_GB2312" w:cs="仿宋_GB2312"/>
          <w:sz w:val="32"/>
          <w:szCs w:val="32"/>
          <w:lang w:eastAsia="zh-CN"/>
        </w:rPr>
        <w:t>代理</w:t>
      </w:r>
      <w:r>
        <w:rPr>
          <w:rFonts w:hint="eastAsia" w:ascii="仿宋_GB2312" w:hAnsi="仿宋_GB2312" w:eastAsia="仿宋_GB2312" w:cs="仿宋_GB2312"/>
          <w:sz w:val="32"/>
          <w:szCs w:val="32"/>
        </w:rPr>
        <w:t>方验收</w:t>
      </w:r>
      <w:r>
        <w:rPr>
          <w:rFonts w:hint="eastAsia" w:ascii="仿宋_GB2312" w:hAnsi="仿宋_GB2312" w:eastAsia="仿宋_GB2312" w:cs="仿宋_GB2312"/>
          <w:sz w:val="32"/>
          <w:szCs w:val="32"/>
          <w:lang w:eastAsia="zh-CN"/>
        </w:rPr>
        <w:t>复核</w:t>
      </w:r>
      <w:r>
        <w:rPr>
          <w:rFonts w:hint="eastAsia" w:ascii="仿宋_GB2312" w:hAnsi="仿宋_GB2312" w:eastAsia="仿宋_GB2312" w:cs="仿宋_GB2312"/>
          <w:sz w:val="32"/>
          <w:szCs w:val="32"/>
        </w:rPr>
        <w:t>报告</w:t>
      </w:r>
      <w:r>
        <w:rPr>
          <w:rFonts w:hint="eastAsia" w:ascii="仿宋_GB2312" w:hAnsi="仿宋_GB2312" w:eastAsia="仿宋_GB2312" w:cs="仿宋_GB2312"/>
          <w:sz w:val="32"/>
          <w:szCs w:val="32"/>
          <w:lang w:eastAsia="zh-CN"/>
        </w:rPr>
        <w:t>后，于</w:t>
      </w:r>
      <w:r>
        <w:rPr>
          <w:rFonts w:hint="eastAsia" w:ascii="仿宋_GB2312" w:hAnsi="仿宋_GB2312" w:eastAsia="仿宋_GB2312" w:cs="仿宋_GB2312"/>
          <w:sz w:val="32"/>
          <w:szCs w:val="32"/>
          <w:lang w:val="en-US" w:eastAsia="zh-CN"/>
        </w:rPr>
        <w:t>15个工作内组织相关人员对本项目进行验收，经验收合格后，出具《宁乡市农业农村局采购合同验收报告单》，代理方方可</w:t>
      </w:r>
      <w:r>
        <w:rPr>
          <w:rFonts w:hint="eastAsia" w:ascii="仿宋_GB2312" w:hAnsi="仿宋_GB2312" w:eastAsia="仿宋_GB2312" w:cs="仿宋_GB2312"/>
          <w:sz w:val="32"/>
          <w:szCs w:val="32"/>
        </w:rPr>
        <w:t>开具等额正式发票</w:t>
      </w:r>
      <w:r>
        <w:rPr>
          <w:rFonts w:hint="eastAsia" w:ascii="仿宋_GB2312" w:hAnsi="仿宋_GB2312" w:eastAsia="仿宋_GB2312" w:cs="仿宋_GB2312"/>
          <w:sz w:val="32"/>
          <w:szCs w:val="32"/>
          <w:lang w:eastAsia="zh-CN"/>
        </w:rPr>
        <w:t>交委托方办理报账支付手续</w:t>
      </w:r>
      <w:r>
        <w:rPr>
          <w:rFonts w:hint="eastAsia" w:ascii="仿宋_GB2312" w:hAnsi="仿宋_GB2312" w:eastAsia="仿宋_GB2312" w:cs="仿宋_GB2312"/>
          <w:sz w:val="32"/>
          <w:szCs w:val="32"/>
        </w:rPr>
        <w:t>。</w:t>
      </w:r>
    </w:p>
    <w:p w14:paraId="4A6C7E20">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3" w:firstLineChars="200"/>
        <w:jc w:val="both"/>
        <w:textAlignment w:val="auto"/>
        <w:rPr>
          <w:rFonts w:ascii="宋体"/>
          <w:b/>
          <w:bCs/>
          <w:sz w:val="32"/>
          <w:szCs w:val="32"/>
        </w:rPr>
      </w:pPr>
      <w:r>
        <w:rPr>
          <w:rFonts w:ascii="宋体"/>
          <w:b/>
          <w:bCs/>
          <w:sz w:val="32"/>
          <w:szCs w:val="32"/>
        </w:rPr>
        <w:t>六、违约责任</w:t>
      </w:r>
    </w:p>
    <w:p w14:paraId="3055113C">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乙方未按协议规定和验收工作要求进行验收复核的，甲方可视具体情况拒付部分或全部费用直至终止委托协议。</w:t>
      </w:r>
    </w:p>
    <w:p w14:paraId="74C58DEE">
      <w:pPr>
        <w:keepNext w:val="0"/>
        <w:keepLines w:val="0"/>
        <w:pageBreakBefore w:val="0"/>
        <w:widowControl w:val="0"/>
        <w:numPr>
          <w:ilvl w:val="0"/>
          <w:numId w:val="4"/>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Hans"/>
        </w:rPr>
        <w:t>如</w:t>
      </w:r>
      <w:r>
        <w:rPr>
          <w:rFonts w:hint="eastAsia" w:ascii="仿宋_GB2312" w:hAnsi="仿宋_GB2312" w:eastAsia="仿宋_GB2312" w:cs="仿宋_GB2312"/>
          <w:sz w:val="32"/>
          <w:szCs w:val="32"/>
          <w:lang w:val="en-US" w:eastAsia="zh-CN"/>
        </w:rPr>
        <w:t>代理方存在</w:t>
      </w:r>
      <w:r>
        <w:rPr>
          <w:rFonts w:hint="eastAsia" w:ascii="仿宋_GB2312" w:hAnsi="仿宋_GB2312" w:eastAsia="仿宋_GB2312" w:cs="仿宋_GB2312"/>
          <w:sz w:val="32"/>
          <w:szCs w:val="32"/>
          <w:lang w:val="en-US" w:eastAsia="zh-Hans"/>
        </w:rPr>
        <w:t>弄虚作假、偷工减料等</w:t>
      </w:r>
      <w:r>
        <w:rPr>
          <w:rFonts w:hint="eastAsia" w:ascii="仿宋_GB2312" w:hAnsi="仿宋_GB2312" w:eastAsia="仿宋_GB2312" w:cs="仿宋_GB2312"/>
          <w:sz w:val="32"/>
          <w:szCs w:val="32"/>
          <w:lang w:val="en-US" w:eastAsia="zh-CN"/>
        </w:rPr>
        <w:t>现象</w:t>
      </w:r>
      <w:r>
        <w:rPr>
          <w:rFonts w:hint="eastAsia" w:ascii="仿宋_GB2312" w:hAnsi="仿宋_GB2312" w:eastAsia="仿宋_GB2312" w:cs="仿宋_GB2312"/>
          <w:sz w:val="32"/>
          <w:szCs w:val="32"/>
          <w:lang w:val="en-US" w:eastAsia="zh-Hans"/>
        </w:rPr>
        <w:t>，每发现一</w:t>
      </w:r>
      <w:r>
        <w:rPr>
          <w:rFonts w:hint="eastAsia" w:ascii="仿宋_GB2312" w:hAnsi="仿宋_GB2312" w:eastAsia="仿宋_GB2312" w:cs="仿宋_GB2312"/>
          <w:sz w:val="32"/>
          <w:szCs w:val="32"/>
          <w:lang w:val="en-US" w:eastAsia="zh-CN"/>
        </w:rPr>
        <w:t>例</w:t>
      </w:r>
      <w:r>
        <w:rPr>
          <w:rFonts w:hint="eastAsia" w:ascii="仿宋_GB2312" w:hAnsi="仿宋_GB2312" w:eastAsia="仿宋_GB2312" w:cs="仿宋_GB2312"/>
          <w:sz w:val="32"/>
          <w:szCs w:val="32"/>
          <w:lang w:val="en-US" w:eastAsia="zh-Hans"/>
        </w:rPr>
        <w:t>，扣除乙方</w:t>
      </w:r>
      <w:r>
        <w:rPr>
          <w:rFonts w:hint="eastAsia" w:ascii="仿宋_GB2312" w:hAnsi="仿宋_GB2312" w:eastAsia="仿宋_GB2312" w:cs="仿宋_GB2312"/>
          <w:sz w:val="32"/>
          <w:szCs w:val="32"/>
          <w:lang w:val="en-US" w:eastAsia="zh-CN"/>
        </w:rPr>
        <w:t>单个项目全部</w:t>
      </w:r>
      <w:r>
        <w:rPr>
          <w:rFonts w:hint="eastAsia" w:ascii="仿宋_GB2312" w:hAnsi="仿宋_GB2312" w:eastAsia="仿宋_GB2312" w:cs="仿宋_GB2312"/>
          <w:sz w:val="32"/>
          <w:szCs w:val="32"/>
          <w:lang w:val="en-US" w:eastAsia="zh-Hans"/>
        </w:rPr>
        <w:t>验收</w:t>
      </w:r>
      <w:r>
        <w:rPr>
          <w:rFonts w:hint="eastAsia" w:ascii="仿宋_GB2312" w:hAnsi="仿宋_GB2312" w:eastAsia="仿宋_GB2312" w:cs="仿宋_GB2312"/>
          <w:sz w:val="32"/>
          <w:szCs w:val="32"/>
          <w:lang w:val="en-US" w:eastAsia="zh-CN"/>
        </w:rPr>
        <w:t>复核</w:t>
      </w:r>
      <w:r>
        <w:rPr>
          <w:rFonts w:hint="eastAsia" w:ascii="仿宋_GB2312" w:hAnsi="仿宋_GB2312" w:eastAsia="仿宋_GB2312" w:cs="仿宋_GB2312"/>
          <w:sz w:val="32"/>
          <w:szCs w:val="32"/>
          <w:lang w:val="en-US" w:eastAsia="zh-Hans"/>
        </w:rPr>
        <w:t>费用</w:t>
      </w:r>
      <w:r>
        <w:rPr>
          <w:rFonts w:hint="eastAsia" w:ascii="仿宋_GB2312" w:hAnsi="仿宋_GB2312" w:eastAsia="仿宋_GB2312" w:cs="仿宋_GB2312"/>
          <w:sz w:val="32"/>
          <w:szCs w:val="32"/>
          <w:lang w:val="en-US" w:eastAsia="zh-CN"/>
        </w:rPr>
        <w:t>。</w:t>
      </w:r>
    </w:p>
    <w:p w14:paraId="2E6EA28D">
      <w:pPr>
        <w:keepNext w:val="0"/>
        <w:keepLines w:val="0"/>
        <w:pageBreakBefore w:val="0"/>
        <w:widowControl w:val="0"/>
        <w:numPr>
          <w:ilvl w:val="0"/>
          <w:numId w:val="4"/>
        </w:numPr>
        <w:pBdr>
          <w:bottom w:val="single" w:color="FFFFFF" w:sz="4" w:space="31"/>
        </w:pBdr>
        <w:tabs>
          <w:tab w:val="left" w:pos="1440"/>
        </w:tabs>
        <w:kinsoku/>
        <w:wordWrap/>
        <w:overflowPunct/>
        <w:topLinePunct w:val="0"/>
        <w:autoSpaceDE/>
        <w:autoSpaceDN/>
        <w:bidi w:val="0"/>
        <w:adjustRightInd w:val="0"/>
        <w:snapToGrid w:val="0"/>
        <w:spacing w:line="360" w:lineRule="auto"/>
        <w:ind w:left="0" w:leftChars="0"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如代理方在验收复核期内，私自承接本次复核范围内的</w:t>
      </w:r>
      <w:r>
        <w:rPr>
          <w:rFonts w:hint="eastAsia" w:ascii="仿宋_GB2312" w:hAnsi="仿宋_GB2312" w:eastAsia="仿宋_GB2312" w:cs="仿宋_GB2312"/>
          <w:sz w:val="32"/>
          <w:szCs w:val="32"/>
          <w:lang w:val="en-US" w:eastAsia="zh-CN"/>
        </w:rPr>
        <w:t>项目验收业务，每发现一例，扣除代理方全部验收复核费用的10%。</w:t>
      </w:r>
    </w:p>
    <w:p w14:paraId="5273D383">
      <w:pPr>
        <w:keepNext w:val="0"/>
        <w:keepLines w:val="0"/>
        <w:pageBreakBefore w:val="0"/>
        <w:widowControl w:val="0"/>
        <w:numPr>
          <w:ilvl w:val="0"/>
          <w:numId w:val="4"/>
        </w:numPr>
        <w:pBdr>
          <w:bottom w:val="single" w:color="FFFFFF" w:sz="4" w:space="31"/>
        </w:pBdr>
        <w:tabs>
          <w:tab w:val="left" w:pos="1440"/>
        </w:tabs>
        <w:kinsoku/>
        <w:wordWrap/>
        <w:overflowPunct/>
        <w:topLinePunct w:val="0"/>
        <w:autoSpaceDE/>
        <w:autoSpaceDN/>
        <w:bidi w:val="0"/>
        <w:adjustRightInd w:val="0"/>
        <w:snapToGrid w:val="0"/>
        <w:spacing w:line="360" w:lineRule="auto"/>
        <w:ind w:left="0" w:leftChars="0" w:right="0" w:rightChars="0" w:firstLine="640" w:firstLineChars="200"/>
        <w:jc w:val="both"/>
        <w:textAlignment w:val="auto"/>
        <w:rPr>
          <w:rFonts w:hint="eastAsia" w:ascii="仿宋_GB2312" w:hAnsi="仿宋_GB2312" w:eastAsia="仿宋_GB2312" w:cs="仿宋_GB2312"/>
          <w:sz w:val="32"/>
          <w:szCs w:val="32"/>
          <w:lang w:val="en-US" w:eastAsia="zh-Hans"/>
        </w:rPr>
      </w:pPr>
      <w:r>
        <w:rPr>
          <w:rFonts w:hint="eastAsia" w:ascii="仿宋_GB2312" w:hAnsi="仿宋_GB2312" w:eastAsia="仿宋_GB2312" w:cs="仿宋_GB2312"/>
          <w:sz w:val="32"/>
          <w:szCs w:val="32"/>
          <w:lang w:val="en-US" w:eastAsia="zh-CN"/>
        </w:rPr>
        <w:t>如</w:t>
      </w:r>
      <w:r>
        <w:rPr>
          <w:rFonts w:hint="eastAsia" w:ascii="仿宋_GB2312" w:hAnsi="仿宋_GB2312" w:eastAsia="仿宋_GB2312" w:cs="仿宋_GB2312"/>
          <w:sz w:val="32"/>
          <w:szCs w:val="32"/>
          <w:lang w:val="en-US" w:eastAsia="zh-Hans"/>
        </w:rPr>
        <w:t>费用已</w:t>
      </w:r>
      <w:r>
        <w:rPr>
          <w:rFonts w:hint="eastAsia" w:ascii="仿宋_GB2312" w:hAnsi="仿宋_GB2312" w:eastAsia="仿宋_GB2312" w:cs="仿宋_GB2312"/>
          <w:sz w:val="32"/>
          <w:szCs w:val="32"/>
          <w:lang w:val="en-US" w:eastAsia="zh-CN"/>
        </w:rPr>
        <w:t>经</w:t>
      </w:r>
      <w:r>
        <w:rPr>
          <w:rFonts w:hint="eastAsia" w:ascii="仿宋_GB2312" w:hAnsi="仿宋_GB2312" w:eastAsia="仿宋_GB2312" w:cs="仿宋_GB2312"/>
          <w:sz w:val="32"/>
          <w:szCs w:val="32"/>
          <w:lang w:val="en-US" w:eastAsia="zh-Hans"/>
        </w:rPr>
        <w:t>支付的，</w:t>
      </w:r>
      <w:r>
        <w:rPr>
          <w:rFonts w:hint="eastAsia" w:ascii="仿宋_GB2312" w:hAnsi="仿宋_GB2312" w:eastAsia="仿宋_GB2312" w:cs="仿宋_GB2312"/>
          <w:sz w:val="32"/>
          <w:szCs w:val="32"/>
          <w:lang w:val="en-US" w:eastAsia="zh-CN"/>
        </w:rPr>
        <w:t>代理</w:t>
      </w:r>
      <w:r>
        <w:rPr>
          <w:rFonts w:hint="eastAsia" w:ascii="仿宋_GB2312" w:hAnsi="仿宋_GB2312" w:eastAsia="仿宋_GB2312" w:cs="仿宋_GB2312"/>
          <w:sz w:val="32"/>
          <w:szCs w:val="32"/>
          <w:lang w:val="en-US" w:eastAsia="zh-Hans"/>
        </w:rPr>
        <w:t>方仍应承担返还的违约责任</w:t>
      </w:r>
      <w:r>
        <w:rPr>
          <w:rFonts w:hint="eastAsia" w:ascii="仿宋_GB2312" w:hAnsi="仿宋_GB2312" w:eastAsia="仿宋_GB2312" w:cs="仿宋_GB2312"/>
          <w:sz w:val="32"/>
          <w:szCs w:val="32"/>
          <w:lang w:val="en-US" w:eastAsia="zh-CN"/>
        </w:rPr>
        <w:t>。</w:t>
      </w:r>
    </w:p>
    <w:p w14:paraId="7703A4C5">
      <w:pPr>
        <w:keepNext w:val="0"/>
        <w:keepLines w:val="0"/>
        <w:pageBreakBefore w:val="0"/>
        <w:widowControl w:val="0"/>
        <w:numPr>
          <w:ilvl w:val="0"/>
          <w:numId w:val="5"/>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3" w:firstLineChars="200"/>
        <w:jc w:val="both"/>
        <w:textAlignment w:val="auto"/>
        <w:rPr>
          <w:rFonts w:hint="eastAsia" w:ascii="宋体"/>
          <w:b/>
          <w:bCs/>
          <w:sz w:val="32"/>
          <w:szCs w:val="32"/>
          <w:lang w:eastAsia="zh-CN"/>
        </w:rPr>
      </w:pPr>
      <w:r>
        <w:rPr>
          <w:rFonts w:hint="eastAsia" w:ascii="宋体"/>
          <w:b/>
          <w:bCs/>
          <w:sz w:val="32"/>
          <w:szCs w:val="32"/>
          <w:lang w:eastAsia="zh-CN"/>
        </w:rPr>
        <w:t>其他事项</w:t>
      </w:r>
    </w:p>
    <w:p w14:paraId="355DB956">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utoSpaceDN/>
        <w:bidi w:val="0"/>
        <w:adjustRightInd w:val="0"/>
        <w:snapToGrid w:val="0"/>
        <w:spacing w:line="360" w:lineRule="auto"/>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若有其他未约定或特殊事项，可事先在协议中明确，事先在协议中未能明确的，由双方共同协商确定。</w:t>
      </w:r>
      <w:bookmarkStart w:id="0" w:name="_GoBack"/>
      <w:bookmarkEnd w:id="0"/>
    </w:p>
    <w:p w14:paraId="6D703169">
      <w:pPr>
        <w:pStyle w:val="2"/>
        <w:keepNext w:val="0"/>
        <w:keepLines w:val="0"/>
        <w:pageBreakBefore w:val="0"/>
        <w:kinsoku/>
        <w:wordWrap/>
        <w:topLinePunct w:val="0"/>
        <w:bidi w:val="0"/>
        <w:spacing w:line="360" w:lineRule="auto"/>
        <w:textAlignment w:val="auto"/>
        <w:rPr>
          <w:rFonts w:hint="eastAsia"/>
        </w:rPr>
      </w:pPr>
    </w:p>
    <w:p w14:paraId="2259A891">
      <w:pPr>
        <w:keepNext w:val="0"/>
        <w:keepLines w:val="0"/>
        <w:pageBreakBefore w:val="0"/>
        <w:kinsoku/>
        <w:wordWrap/>
        <w:topLinePunct w:val="0"/>
        <w:autoSpaceDE/>
        <w:autoSpaceDN/>
        <w:bidi w:val="0"/>
        <w:spacing w:line="360" w:lineRule="auto"/>
        <w:ind w:right="-283"/>
        <w:jc w:val="left"/>
        <w:textAlignment w:val="auto"/>
        <w:rPr>
          <w:rFonts w:ascii="仿宋_GB2312" w:hAnsi="仿宋_GB2312" w:eastAsia="仿宋_GB2312" w:cs="仿宋_GB2312"/>
          <w:sz w:val="32"/>
          <w:szCs w:val="32"/>
        </w:rPr>
      </w:pPr>
    </w:p>
    <w:p w14:paraId="1ADF1CAA">
      <w:pPr>
        <w:keepNext w:val="0"/>
        <w:keepLines w:val="0"/>
        <w:pageBreakBefore w:val="0"/>
        <w:kinsoku/>
        <w:wordWrap/>
        <w:topLinePunct w:val="0"/>
        <w:autoSpaceDE/>
        <w:autoSpaceDN/>
        <w:bidi w:val="0"/>
        <w:spacing w:line="360" w:lineRule="auto"/>
        <w:ind w:left="-283" w:leftChars="-135" w:right="-283" w:firstLine="5392" w:firstLineChars="1685"/>
        <w:jc w:val="left"/>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宁乡市农业农村局</w:t>
      </w:r>
    </w:p>
    <w:p w14:paraId="7D2C48D5">
      <w:pPr>
        <w:keepNext w:val="0"/>
        <w:keepLines w:val="0"/>
        <w:pageBreakBefore w:val="0"/>
        <w:kinsoku/>
        <w:wordWrap/>
        <w:topLinePunct w:val="0"/>
        <w:autoSpaceDE/>
        <w:autoSpaceDN/>
        <w:bidi w:val="0"/>
        <w:spacing w:line="360" w:lineRule="auto"/>
        <w:ind w:left="-283" w:right="-283" w:firstLine="260"/>
        <w:textAlignment w:val="auto"/>
        <w:rPr>
          <w:rFonts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                               </w:t>
      </w:r>
      <w:r>
        <w:rPr>
          <w:rFonts w:hint="eastAsia" w:ascii="仿宋_GB2312" w:hAnsi="仿宋_GB2312" w:eastAsia="仿宋_GB2312" w:cs="仿宋_GB2312"/>
          <w:bCs/>
          <w:sz w:val="32"/>
          <w:szCs w:val="32"/>
          <w:lang w:val="en-US" w:eastAsia="zh-CN"/>
        </w:rPr>
        <w:t xml:space="preserve"> </w:t>
      </w:r>
      <w:r>
        <w:rPr>
          <w:rFonts w:hint="eastAsia" w:ascii="仿宋_GB2312" w:hAnsi="仿宋_GB2312" w:eastAsia="仿宋_GB2312" w:cs="仿宋_GB2312"/>
          <w:bCs/>
          <w:sz w:val="32"/>
          <w:szCs w:val="32"/>
        </w:rPr>
        <w:t xml:space="preserve"> 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9</w:t>
      </w:r>
      <w:r>
        <w:rPr>
          <w:rFonts w:hint="eastAsia" w:ascii="仿宋_GB2312" w:hAnsi="仿宋_GB2312" w:eastAsia="仿宋_GB2312" w:cs="仿宋_GB2312"/>
          <w:bCs/>
          <w:sz w:val="32"/>
          <w:szCs w:val="32"/>
        </w:rPr>
        <w:t>日</w:t>
      </w:r>
    </w:p>
    <w:p w14:paraId="35FE5EB6">
      <w:pPr>
        <w:autoSpaceDE/>
        <w:autoSpaceDN/>
        <w:snapToGrid w:val="0"/>
        <w:spacing w:line="360" w:lineRule="auto"/>
        <w:ind w:left="-283" w:right="-283"/>
        <w:jc w:val="left"/>
        <w:rPr>
          <w:rFonts w:ascii="仿宋" w:hAnsi="仿宋" w:eastAsia="仿宋" w:cs="仿宋"/>
          <w:sz w:val="30"/>
          <w:szCs w:val="30"/>
        </w:rPr>
      </w:pPr>
    </w:p>
    <w:p w14:paraId="6513D235">
      <w:pPr>
        <w:autoSpaceDE/>
        <w:autoSpaceDN/>
        <w:spacing w:line="360" w:lineRule="auto"/>
        <w:ind w:left="283" w:right="283"/>
        <w:jc w:val="left"/>
        <w:rPr>
          <w:rFonts w:ascii="仿宋" w:hAnsi="仿宋" w:eastAsia="仿宋" w:cs="仿宋"/>
          <w:b/>
          <w:sz w:val="30"/>
          <w:szCs w:val="30"/>
        </w:rPr>
      </w:pPr>
    </w:p>
    <w:p w14:paraId="76AFA6EE">
      <w:pPr>
        <w:spacing w:line="312" w:lineRule="auto"/>
        <w:ind w:left="-283" w:right="-283"/>
        <w:jc w:val="left"/>
      </w:pPr>
    </w:p>
    <w:sectPr>
      <w:footerReference r:id="rId3" w:type="default"/>
      <w:pgSz w:w="11906" w:h="16838"/>
      <w:pgMar w:top="1701" w:right="1440" w:bottom="1440" w:left="1440" w:header="851" w:footer="992" w:gutter="0"/>
      <w:cols w:space="720" w:num="1"/>
      <w:docGrid w:type="lines" w:linePitch="312" w:charSpace="614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lgun Gothic">
    <w:panose1 w:val="020B0503020000020004"/>
    <w:charset w:val="81"/>
    <w:family w:val="auto"/>
    <w:pitch w:val="default"/>
    <w:sig w:usb0="900002AF" w:usb1="01D77CFB" w:usb2="00000012" w:usb3="00000000" w:csb0="00080001" w:csb1="00000000"/>
  </w:font>
  <w:font w:name="FangSong_GB2312falt">
    <w:altName w:val="微软雅黑"/>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CD6359">
    <w:pPr>
      <w:pStyle w:val="5"/>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4B01C821">
                <w:pPr>
                  <w:pStyle w:val="5"/>
                </w:pPr>
                <w:r>
                  <w:fldChar w:fldCharType="begin"/>
                </w:r>
                <w:r>
                  <w:instrText xml:space="preserve"> PAGE  \* MERGEFORMAT </w:instrText>
                </w:r>
                <w:r>
                  <w:fldChar w:fldCharType="separate"/>
                </w:r>
                <w:r>
                  <w:t>1</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E97B3AE"/>
    <w:multiLevelType w:val="singleLevel"/>
    <w:tmpl w:val="AE97B3AE"/>
    <w:lvl w:ilvl="0" w:tentative="0">
      <w:start w:val="1"/>
      <w:numFmt w:val="chineseCounting"/>
      <w:suff w:val="nothing"/>
      <w:lvlText w:val="（%1）"/>
      <w:lvlJc w:val="left"/>
      <w:rPr>
        <w:rFonts w:hint="eastAsia"/>
      </w:rPr>
    </w:lvl>
  </w:abstractNum>
  <w:abstractNum w:abstractNumId="1">
    <w:nsid w:val="AEAC48C6"/>
    <w:multiLevelType w:val="singleLevel"/>
    <w:tmpl w:val="AEAC48C6"/>
    <w:lvl w:ilvl="0" w:tentative="0">
      <w:start w:val="1"/>
      <w:numFmt w:val="chineseCounting"/>
      <w:suff w:val="nothing"/>
      <w:lvlText w:val="（%1）"/>
      <w:lvlJc w:val="left"/>
      <w:rPr>
        <w:rFonts w:hint="eastAsia"/>
      </w:rPr>
    </w:lvl>
  </w:abstractNum>
  <w:abstractNum w:abstractNumId="2">
    <w:nsid w:val="B7B46350"/>
    <w:multiLevelType w:val="singleLevel"/>
    <w:tmpl w:val="B7B46350"/>
    <w:lvl w:ilvl="0" w:tentative="0">
      <w:start w:val="1"/>
      <w:numFmt w:val="chineseCounting"/>
      <w:suff w:val="nothing"/>
      <w:lvlText w:val="（%1）"/>
      <w:lvlJc w:val="left"/>
      <w:rPr>
        <w:rFonts w:hint="eastAsia"/>
      </w:rPr>
    </w:lvl>
  </w:abstractNum>
  <w:abstractNum w:abstractNumId="3">
    <w:nsid w:val="17F73B99"/>
    <w:multiLevelType w:val="singleLevel"/>
    <w:tmpl w:val="17F73B99"/>
    <w:lvl w:ilvl="0" w:tentative="0">
      <w:start w:val="7"/>
      <w:numFmt w:val="chineseCounting"/>
      <w:suff w:val="nothing"/>
      <w:lvlText w:val="%1、"/>
      <w:lvlJc w:val="left"/>
      <w:rPr>
        <w:rFonts w:hint="eastAsia"/>
      </w:rPr>
    </w:lvl>
  </w:abstractNum>
  <w:abstractNum w:abstractNumId="4">
    <w:nsid w:val="6E1344C2"/>
    <w:multiLevelType w:val="singleLevel"/>
    <w:tmpl w:val="6E1344C2"/>
    <w:lvl w:ilvl="0" w:tentative="0">
      <w:start w:val="1"/>
      <w:numFmt w:val="chineseCounting"/>
      <w:suff w:val="nothing"/>
      <w:lvlText w:val="（%1）"/>
      <w:lvlJc w:val="left"/>
      <w:rPr>
        <w:rFonts w:hint="eastAsia"/>
      </w:r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800"/>
  <w:displayHorizontalDrawingGridEvery w:val="0"/>
  <w:displayVerticalDrawingGridEvery w:val="2"/>
  <w:noPunctuationKerning w:val="1"/>
  <w:characterSpacingControl w:val="doNotCompress"/>
  <w:hdrShapeDefaults>
    <o:shapelayout v:ext="edit">
      <o:idmap v:ext="edit" data="3,4"/>
    </o:shapelayout>
  </w:hdrShapeDefaults>
  <w:compat>
    <w:balanceSingleByteDoubleByteWidth/>
    <w:useFELayout/>
    <w:compatSetting w:name="compatibilityMode" w:uri="http://schemas.microsoft.com/office/word" w:val="12"/>
  </w:compat>
  <w:docVars>
    <w:docVar w:name="commondata" w:val="eyJoZGlkIjoiNDAyMTJiMTIwM2M5YjY3ZWE3MzhhMDc2MzViNmNkZTgifQ=="/>
  </w:docVars>
  <w:rsids>
    <w:rsidRoot w:val="00742B74"/>
    <w:rsid w:val="000952FF"/>
    <w:rsid w:val="001B2234"/>
    <w:rsid w:val="002372EA"/>
    <w:rsid w:val="00742B74"/>
    <w:rsid w:val="00764F6F"/>
    <w:rsid w:val="00A16AA0"/>
    <w:rsid w:val="01515DAE"/>
    <w:rsid w:val="03522F69"/>
    <w:rsid w:val="03C77BD1"/>
    <w:rsid w:val="03E063D5"/>
    <w:rsid w:val="041C09BF"/>
    <w:rsid w:val="04643C49"/>
    <w:rsid w:val="05E21783"/>
    <w:rsid w:val="06F618C8"/>
    <w:rsid w:val="076C5C4E"/>
    <w:rsid w:val="07A31B79"/>
    <w:rsid w:val="07F51EA4"/>
    <w:rsid w:val="0870447C"/>
    <w:rsid w:val="094E5631"/>
    <w:rsid w:val="09A25295"/>
    <w:rsid w:val="09F91840"/>
    <w:rsid w:val="0A6C3DC0"/>
    <w:rsid w:val="0AA7299B"/>
    <w:rsid w:val="0AD34999"/>
    <w:rsid w:val="0CAC5090"/>
    <w:rsid w:val="0CB00BC4"/>
    <w:rsid w:val="0D326535"/>
    <w:rsid w:val="0DEF750B"/>
    <w:rsid w:val="0E0C2FA1"/>
    <w:rsid w:val="0E373C48"/>
    <w:rsid w:val="0E8A0CB9"/>
    <w:rsid w:val="0F223EFD"/>
    <w:rsid w:val="0FDB3CB0"/>
    <w:rsid w:val="104673EE"/>
    <w:rsid w:val="10572E1C"/>
    <w:rsid w:val="1126557A"/>
    <w:rsid w:val="11BE4A1C"/>
    <w:rsid w:val="11F16620"/>
    <w:rsid w:val="15222205"/>
    <w:rsid w:val="169A1FBB"/>
    <w:rsid w:val="17CC7A8D"/>
    <w:rsid w:val="17D25212"/>
    <w:rsid w:val="17F34AFB"/>
    <w:rsid w:val="191C10A7"/>
    <w:rsid w:val="197E6032"/>
    <w:rsid w:val="1998697F"/>
    <w:rsid w:val="19BA7447"/>
    <w:rsid w:val="1A052C1D"/>
    <w:rsid w:val="1A137F5A"/>
    <w:rsid w:val="1B3C71E1"/>
    <w:rsid w:val="1C457F9A"/>
    <w:rsid w:val="1C963AC5"/>
    <w:rsid w:val="1CCC06EE"/>
    <w:rsid w:val="1CEA01D1"/>
    <w:rsid w:val="1D0F2397"/>
    <w:rsid w:val="1D152095"/>
    <w:rsid w:val="1D33475E"/>
    <w:rsid w:val="1EA9518B"/>
    <w:rsid w:val="1EC25A34"/>
    <w:rsid w:val="1F2E6199"/>
    <w:rsid w:val="1F4D6D71"/>
    <w:rsid w:val="20014FB8"/>
    <w:rsid w:val="23281718"/>
    <w:rsid w:val="23FB59EE"/>
    <w:rsid w:val="24703E74"/>
    <w:rsid w:val="261301D0"/>
    <w:rsid w:val="2665408D"/>
    <w:rsid w:val="273B46C7"/>
    <w:rsid w:val="28354D2A"/>
    <w:rsid w:val="28821BCB"/>
    <w:rsid w:val="2B4B420C"/>
    <w:rsid w:val="2CC55886"/>
    <w:rsid w:val="2DBB0A37"/>
    <w:rsid w:val="2E023E21"/>
    <w:rsid w:val="2E3422F8"/>
    <w:rsid w:val="2E370D7E"/>
    <w:rsid w:val="2EB15BE0"/>
    <w:rsid w:val="2F1A514A"/>
    <w:rsid w:val="319138D5"/>
    <w:rsid w:val="336805C6"/>
    <w:rsid w:val="33C15E7B"/>
    <w:rsid w:val="348A5C35"/>
    <w:rsid w:val="348E4AC2"/>
    <w:rsid w:val="34CE54F3"/>
    <w:rsid w:val="36DC53B7"/>
    <w:rsid w:val="37555A58"/>
    <w:rsid w:val="38414C9C"/>
    <w:rsid w:val="384A7ED7"/>
    <w:rsid w:val="38504F55"/>
    <w:rsid w:val="38704016"/>
    <w:rsid w:val="39910005"/>
    <w:rsid w:val="39B60304"/>
    <w:rsid w:val="3A2F2590"/>
    <w:rsid w:val="3A7601BF"/>
    <w:rsid w:val="3ABE49BA"/>
    <w:rsid w:val="3B7E69A5"/>
    <w:rsid w:val="3C9A5CBB"/>
    <w:rsid w:val="3D9A6B04"/>
    <w:rsid w:val="3D9D5EE2"/>
    <w:rsid w:val="3DBF00CF"/>
    <w:rsid w:val="3E1321C9"/>
    <w:rsid w:val="3F255D10"/>
    <w:rsid w:val="3F7D12F6"/>
    <w:rsid w:val="40104C8D"/>
    <w:rsid w:val="401B4686"/>
    <w:rsid w:val="40747881"/>
    <w:rsid w:val="40876476"/>
    <w:rsid w:val="40F24AB3"/>
    <w:rsid w:val="41923405"/>
    <w:rsid w:val="41D81760"/>
    <w:rsid w:val="43284284"/>
    <w:rsid w:val="43A04D63"/>
    <w:rsid w:val="44E57B42"/>
    <w:rsid w:val="45CD3BEA"/>
    <w:rsid w:val="466444B6"/>
    <w:rsid w:val="46B57F9F"/>
    <w:rsid w:val="4711773C"/>
    <w:rsid w:val="48030BB8"/>
    <w:rsid w:val="48096636"/>
    <w:rsid w:val="49746212"/>
    <w:rsid w:val="4A591F38"/>
    <w:rsid w:val="4A83134F"/>
    <w:rsid w:val="4B3A2D12"/>
    <w:rsid w:val="4BCD4180"/>
    <w:rsid w:val="4C0F1D02"/>
    <w:rsid w:val="4C8555D6"/>
    <w:rsid w:val="4C9C3E42"/>
    <w:rsid w:val="4CD21504"/>
    <w:rsid w:val="4D392D77"/>
    <w:rsid w:val="4DAC20D0"/>
    <w:rsid w:val="4EFE4786"/>
    <w:rsid w:val="4F0308B9"/>
    <w:rsid w:val="4F236B9F"/>
    <w:rsid w:val="513A1AEF"/>
    <w:rsid w:val="515B464B"/>
    <w:rsid w:val="51F642DD"/>
    <w:rsid w:val="521A58B8"/>
    <w:rsid w:val="528A2602"/>
    <w:rsid w:val="52C34663"/>
    <w:rsid w:val="533B7B79"/>
    <w:rsid w:val="536F22E1"/>
    <w:rsid w:val="54973F96"/>
    <w:rsid w:val="550F6DEF"/>
    <w:rsid w:val="569D0B8E"/>
    <w:rsid w:val="56A317C7"/>
    <w:rsid w:val="56B51C18"/>
    <w:rsid w:val="56E36002"/>
    <w:rsid w:val="56FD4AB4"/>
    <w:rsid w:val="57415259"/>
    <w:rsid w:val="57E9213D"/>
    <w:rsid w:val="582D6BDC"/>
    <w:rsid w:val="59A360A9"/>
    <w:rsid w:val="59B71D95"/>
    <w:rsid w:val="5A2C3F9F"/>
    <w:rsid w:val="5C2529CD"/>
    <w:rsid w:val="5CCB7BC4"/>
    <w:rsid w:val="5DFB5FF5"/>
    <w:rsid w:val="5FBE1B3D"/>
    <w:rsid w:val="5FFD5C0B"/>
    <w:rsid w:val="60180706"/>
    <w:rsid w:val="60443454"/>
    <w:rsid w:val="60B86847"/>
    <w:rsid w:val="612105D5"/>
    <w:rsid w:val="6169037F"/>
    <w:rsid w:val="61C63EC6"/>
    <w:rsid w:val="62820389"/>
    <w:rsid w:val="62F17359"/>
    <w:rsid w:val="64124205"/>
    <w:rsid w:val="647F41B9"/>
    <w:rsid w:val="65D15DF0"/>
    <w:rsid w:val="6868611D"/>
    <w:rsid w:val="6907736B"/>
    <w:rsid w:val="6AC67AF8"/>
    <w:rsid w:val="6C700183"/>
    <w:rsid w:val="6CEE5158"/>
    <w:rsid w:val="6D12630D"/>
    <w:rsid w:val="6E1F5E9D"/>
    <w:rsid w:val="6E4C47B8"/>
    <w:rsid w:val="6E5D1621"/>
    <w:rsid w:val="6F5815CF"/>
    <w:rsid w:val="70752122"/>
    <w:rsid w:val="70EB2125"/>
    <w:rsid w:val="74652FE8"/>
    <w:rsid w:val="74AF529A"/>
    <w:rsid w:val="74E231D7"/>
    <w:rsid w:val="766D6270"/>
    <w:rsid w:val="76B828F8"/>
    <w:rsid w:val="76CF2E97"/>
    <w:rsid w:val="77AC7BFF"/>
    <w:rsid w:val="78D8593D"/>
    <w:rsid w:val="795D3D1D"/>
    <w:rsid w:val="7A080669"/>
    <w:rsid w:val="7CD25684"/>
    <w:rsid w:val="7D293524"/>
    <w:rsid w:val="7DBB115E"/>
    <w:rsid w:val="7DE12867"/>
    <w:rsid w:val="7E657E5C"/>
    <w:rsid w:val="7E7B2F59"/>
    <w:rsid w:val="7F682E32"/>
    <w:rsid w:val="7FD37D3C"/>
  </w:rsids>
  <m:mathPr>
    <m:mathFont m:val="Cambria Math"/>
    <m:brkBin m:val="before"/>
    <m:brkBinSub m:val="--"/>
    <m:smallFrac m:val="1"/>
    <m:dispDef/>
    <m:lMargin m:val="1440"/>
    <m:rMargin m:val="144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99" w:semiHidden="0" w:name="footnote text"/>
    <w:lsdException w:qFormat="1" w:uiPriority="99"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1"/>
    <w:pPr>
      <w:autoSpaceDE w:val="0"/>
      <w:autoSpaceDN w:val="0"/>
      <w:jc w:val="both"/>
    </w:pPr>
    <w:rPr>
      <w:rFonts w:ascii="Calibri" w:hAnsi="宋体" w:eastAsia="宋体" w:cs="宋体"/>
      <w:sz w:val="21"/>
      <w:szCs w:val="21"/>
      <w:lang w:val="en-US" w:eastAsia="zh-CN" w:bidi="ar-SA"/>
    </w:rPr>
  </w:style>
  <w:style w:type="character" w:default="1" w:styleId="8">
    <w:name w:val="Default Paragraph Font"/>
    <w:autoRedefine/>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footnote text"/>
    <w:basedOn w:val="1"/>
    <w:autoRedefine/>
    <w:qFormat/>
    <w:uiPriority w:val="99"/>
    <w:pPr>
      <w:snapToGrid w:val="0"/>
    </w:pPr>
    <w:rPr>
      <w:sz w:val="18"/>
    </w:rPr>
  </w:style>
  <w:style w:type="paragraph" w:styleId="3">
    <w:name w:val="annotation text"/>
    <w:basedOn w:val="1"/>
    <w:autoRedefine/>
    <w:semiHidden/>
    <w:unhideWhenUsed/>
    <w:qFormat/>
    <w:uiPriority w:val="99"/>
    <w:pPr>
      <w:jc w:val="left"/>
    </w:pPr>
  </w:style>
  <w:style w:type="paragraph" w:styleId="4">
    <w:name w:val="Body Text"/>
    <w:basedOn w:val="1"/>
    <w:next w:val="1"/>
    <w:autoRedefine/>
    <w:qFormat/>
    <w:uiPriority w:val="99"/>
    <w:pPr>
      <w:jc w:val="left"/>
    </w:pPr>
    <w:rPr>
      <w:rFonts w:ascii="FangSong_GB2312falt" w:eastAsia="Times New Roman"/>
      <w:sz w:val="32"/>
      <w:szCs w:val="32"/>
    </w:rPr>
  </w:style>
  <w:style w:type="paragraph" w:styleId="5">
    <w:name w:val="footer"/>
    <w:basedOn w:val="1"/>
    <w:link w:val="10"/>
    <w:autoRedefine/>
    <w:qFormat/>
    <w:uiPriority w:val="0"/>
    <w:pPr>
      <w:tabs>
        <w:tab w:val="center" w:pos="4153"/>
        <w:tab w:val="right" w:pos="8306"/>
      </w:tabs>
      <w:snapToGrid w:val="0"/>
      <w:jc w:val="left"/>
    </w:pPr>
    <w:rPr>
      <w:sz w:val="18"/>
      <w:szCs w:val="18"/>
    </w:rPr>
  </w:style>
  <w:style w:type="paragraph" w:styleId="6">
    <w:name w:val="header"/>
    <w:basedOn w:val="1"/>
    <w:link w:val="9"/>
    <w:autoRedefine/>
    <w:qFormat/>
    <w:uiPriority w:val="0"/>
    <w:pPr>
      <w:pBdr>
        <w:bottom w:val="single" w:color="auto" w:sz="6" w:space="1"/>
      </w:pBdr>
      <w:tabs>
        <w:tab w:val="center" w:pos="4153"/>
        <w:tab w:val="right" w:pos="8306"/>
      </w:tabs>
      <w:snapToGrid w:val="0"/>
      <w:jc w:val="center"/>
    </w:pPr>
    <w:rPr>
      <w:sz w:val="18"/>
      <w:szCs w:val="18"/>
    </w:rPr>
  </w:style>
  <w:style w:type="character" w:customStyle="1" w:styleId="9">
    <w:name w:val="页眉 Char"/>
    <w:basedOn w:val="8"/>
    <w:link w:val="6"/>
    <w:autoRedefine/>
    <w:qFormat/>
    <w:uiPriority w:val="0"/>
    <w:rPr>
      <w:rFonts w:ascii="Calibri" w:hAnsi="宋体" w:eastAsia="宋体" w:cs="宋体"/>
      <w:sz w:val="18"/>
      <w:szCs w:val="18"/>
    </w:rPr>
  </w:style>
  <w:style w:type="character" w:customStyle="1" w:styleId="10">
    <w:name w:val="页脚 Char"/>
    <w:basedOn w:val="8"/>
    <w:link w:val="5"/>
    <w:autoRedefine/>
    <w:qFormat/>
    <w:uiPriority w:val="0"/>
    <w:rPr>
      <w:rFonts w:ascii="Calibri" w:hAnsi="宋体" w:eastAsia="宋体" w:cs="宋体"/>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MS</Company>
  <Pages>8</Pages>
  <Words>3212</Words>
  <Characters>3335</Characters>
  <Lines>6</Lines>
  <Paragraphs>1</Paragraphs>
  <TotalTime>14</TotalTime>
  <ScaleCrop>false</ScaleCrop>
  <LinksUpToDate>false</LinksUpToDate>
  <CharactersWithSpaces>3377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2023-04-03T01:53:00Z</dcterms:created>
  <dc:creator>DELL</dc:creator>
  <cp:lastModifiedBy>AnLao</cp:lastModifiedBy>
  <cp:lastPrinted>2024-04-25T01:50:00Z</cp:lastPrinted>
  <dcterms:modified xsi:type="dcterms:W3CDTF">2025-05-08T09:17:26Z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28B702DF1607401DB6A2F2C578693400_13</vt:lpwstr>
  </property>
  <property fmtid="{D5CDD505-2E9C-101B-9397-08002B2CF9AE}" pid="4" name="KSOTemplateDocerSaveRecord">
    <vt:lpwstr>eyJoZGlkIjoiZThlYWQ3NzgxMzNiNjhkYTg4YWE0NWQyNDU5ZDVhZjciLCJ1c2VySWQiOiI0MjkyNTkyMjcifQ==</vt:lpwstr>
  </property>
</Properties>
</file>