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0C16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湘潭县县城排水与污水处理专项治理规划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编制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任务书</w:t>
      </w:r>
    </w:p>
    <w:p w14:paraId="21F57E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6A2D420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</w:t>
      </w:r>
      <w:r>
        <w:rPr>
          <w:rFonts w:hint="eastAsia" w:ascii="黑体" w:hAnsi="黑体" w:eastAsia="黑体" w:cs="黑体"/>
          <w:sz w:val="32"/>
          <w:szCs w:val="32"/>
        </w:rPr>
        <w:t>项目背景</w:t>
      </w:r>
    </w:p>
    <w:p w14:paraId="55C027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湘潭县作为湖南省农业大县，近年来在乡村振兴和生态文明建设中取得显著成效，但县城排水与污水处理仍面临挑战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现有排水管网老化、雨污分流不彻底、雨季内涝频发等问题亟待解决。为落实《“十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五</w:t>
      </w:r>
      <w:r>
        <w:rPr>
          <w:rFonts w:hint="eastAsia" w:ascii="仿宋" w:hAnsi="仿宋" w:eastAsia="仿宋" w:cs="仿宋"/>
          <w:sz w:val="32"/>
          <w:szCs w:val="32"/>
        </w:rPr>
        <w:t xml:space="preserve">五”城镇污水处理及资源化利用发展规划》要求，结合湘潭县“莲乡”生态特色，特制定本专项规划，推动县城水环境质量提升与可持续发展。  </w:t>
      </w:r>
    </w:p>
    <w:p w14:paraId="5C6941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二、总体要求  </w:t>
      </w:r>
    </w:p>
    <w:p w14:paraId="4A37C6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1.指导思想</w:t>
      </w:r>
    </w:p>
    <w:p w14:paraId="32A455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以“绿水青山就是金山银山”理念为核心，统筹水资源、水环境、水安全，构建“源头减排—管网完善—处理高效—资源回用”的现代化治理体系。</w:t>
      </w:r>
    </w:p>
    <w:p w14:paraId="37F4C1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2.基本原则 </w:t>
      </w:r>
    </w:p>
    <w:p w14:paraId="6CB1C8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</w:rPr>
        <w:t xml:space="preserve">因地制宜：结合湘潭县地形、水文特征（如涟水流域保护）及“莲乡”文化特色，优化治理方案。  </w:t>
      </w:r>
    </w:p>
    <w:p w14:paraId="6A75B7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长效管理：建立“政府主导、部门联动、公众参与”机制，强化执法监管与智慧化运维。  </w:t>
      </w:r>
    </w:p>
    <w:p w14:paraId="612408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3.规划目标 </w:t>
      </w:r>
    </w:p>
    <w:p w14:paraId="42B3D8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近期（202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 xml:space="preserve">年）：县城污水集中收集率达75%，雨污分流改造完成率85%，消除建成区黑臭水体及内涝点。  </w:t>
      </w:r>
    </w:p>
    <w:p w14:paraId="232CD9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远期（203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年）：污水处理厂出水水质稳定达到一级A标准，再生水利用率≥25%，内涝防治能力提升至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 xml:space="preserve">0年一遇。  </w:t>
      </w:r>
    </w:p>
    <w:p w14:paraId="25131C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三、规划范围与期限 </w:t>
      </w:r>
    </w:p>
    <w:p w14:paraId="018143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1. 范围</w:t>
      </w:r>
      <w:r>
        <w:rPr>
          <w:rFonts w:hint="eastAsia" w:ascii="仿宋" w:hAnsi="仿宋" w:eastAsia="仿宋" w:cs="仿宋"/>
          <w:sz w:val="32"/>
          <w:szCs w:val="32"/>
        </w:rPr>
        <w:t xml:space="preserve">：湘潭县建成区及规划拓展区，重点覆盖易俗河镇等人口密集区域及涟水河流域。  </w:t>
      </w:r>
    </w:p>
    <w:p w14:paraId="184AB8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2. 期限：</w:t>
      </w:r>
      <w:r>
        <w:rPr>
          <w:rFonts w:hint="eastAsia" w:ascii="仿宋" w:hAnsi="仿宋" w:eastAsia="仿宋" w:cs="仿宋"/>
          <w:sz w:val="32"/>
          <w:szCs w:val="32"/>
        </w:rPr>
        <w:t xml:space="preserve">  </w:t>
      </w:r>
    </w:p>
    <w:p w14:paraId="60D627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基准年：20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 w:cs="仿宋"/>
          <w:sz w:val="32"/>
          <w:szCs w:val="32"/>
        </w:rPr>
        <w:t xml:space="preserve">年；  </w:t>
      </w:r>
    </w:p>
    <w:p w14:paraId="26462A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近期：2025-2028年；  </w:t>
      </w:r>
    </w:p>
    <w:p w14:paraId="3C8E1E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远期：至2035年。  </w:t>
      </w:r>
    </w:p>
    <w:p w14:paraId="5F19A7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四、主要任务  </w:t>
      </w:r>
    </w:p>
    <w:p w14:paraId="3C36B9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1.现状诊断与问题分析</w:t>
      </w:r>
      <w:r>
        <w:rPr>
          <w:rFonts w:hint="eastAsia" w:ascii="仿宋" w:hAnsi="仿宋" w:eastAsia="仿宋" w:cs="仿宋"/>
          <w:sz w:val="32"/>
          <w:szCs w:val="32"/>
        </w:rPr>
        <w:t xml:space="preserve"> </w:t>
      </w:r>
    </w:p>
    <w:p w14:paraId="5FC58D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全面摸排管网现状，分析雨污混接率、管网破损率及污水处理厂负荷率，识别内涝高风险区（如低洼地带、老旧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小</w:t>
      </w:r>
      <w:r>
        <w:rPr>
          <w:rFonts w:hint="eastAsia" w:ascii="仿宋" w:hAnsi="仿宋" w:eastAsia="仿宋" w:cs="仿宋"/>
          <w:sz w:val="32"/>
          <w:szCs w:val="32"/>
        </w:rPr>
        <w:t>区）。  结合《湘潭县农村人居环境整治提升五年行动方案》，评估现有设施短板。</w:t>
      </w:r>
    </w:p>
    <w:p w14:paraId="7C3D46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2. 排水系统优化 </w:t>
      </w:r>
    </w:p>
    <w:p w14:paraId="415EAF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 雨污分流改造：优先改造建成区主干管网，新建区域严格执行分流制，过渡区增设截流设施。  </w:t>
      </w:r>
    </w:p>
    <w:p w14:paraId="59E489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管网修复与扩容：采用非开挖技术修复破损管道，结合海绵城市理念建设透水铺装、雨水花园等设施。  </w:t>
      </w:r>
    </w:p>
    <w:p w14:paraId="1C31A1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.内涝防治体系 </w:t>
      </w:r>
    </w:p>
    <w:p w14:paraId="5AFC7F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工程措施：建设行泄通道，优化泵站布局；在易涝区布设实时监测设备，开发内涝预警模型。  </w:t>
      </w:r>
    </w:p>
    <w:p w14:paraId="74FD82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生态措施：恢复河道自然岸线，建设湿地公园，增强滞洪能力。  </w:t>
      </w:r>
    </w:p>
    <w:p w14:paraId="5FCFE6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五、技术要求</w:t>
      </w:r>
      <w:r>
        <w:rPr>
          <w:rFonts w:hint="eastAsia" w:ascii="仿宋" w:hAnsi="仿宋" w:eastAsia="仿宋" w:cs="仿宋"/>
          <w:sz w:val="32"/>
          <w:szCs w:val="32"/>
        </w:rPr>
        <w:t xml:space="preserve">  </w:t>
      </w:r>
    </w:p>
    <w:p w14:paraId="34152F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1.标准规范：</w:t>
      </w:r>
      <w:r>
        <w:rPr>
          <w:rFonts w:hint="eastAsia" w:ascii="仿宋" w:hAnsi="仿宋" w:eastAsia="仿宋" w:cs="仿宋"/>
          <w:sz w:val="32"/>
          <w:szCs w:val="32"/>
        </w:rPr>
        <w:t xml:space="preserve">遵循《室外排水设计规范》（GB 50014）、《城镇污水处理厂污染物排放标准》（GB 18918），重点区域水质敏感区执行一级A标准。  </w:t>
      </w:r>
    </w:p>
    <w:p w14:paraId="2BB6AA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2.模型应用：</w:t>
      </w:r>
      <w:r>
        <w:rPr>
          <w:rFonts w:hint="eastAsia" w:ascii="仿宋" w:hAnsi="仿宋" w:eastAsia="仿宋" w:cs="仿宋"/>
          <w:sz w:val="32"/>
          <w:szCs w:val="32"/>
        </w:rPr>
        <w:t xml:space="preserve">采用SWMM、MIKE URBAN等软件模拟管网运行，优化设计参数。  </w:t>
      </w:r>
    </w:p>
    <w:p w14:paraId="7AFCB7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3.图纸要求：</w:t>
      </w:r>
      <w:r>
        <w:rPr>
          <w:rFonts w:hint="eastAsia" w:ascii="仿宋" w:hAnsi="仿宋" w:eastAsia="仿宋" w:cs="仿宋"/>
          <w:sz w:val="32"/>
          <w:szCs w:val="32"/>
        </w:rPr>
        <w:t xml:space="preserve">规划图比例尺不小于1:2000，标注管网坐标、高程及关键节点参数。  </w:t>
      </w:r>
    </w:p>
    <w:p w14:paraId="158AEC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六、成果要求 </w:t>
      </w:r>
      <w:r>
        <w:rPr>
          <w:rFonts w:hint="eastAsia" w:ascii="仿宋" w:hAnsi="仿宋" w:eastAsia="仿宋" w:cs="仿宋"/>
          <w:sz w:val="32"/>
          <w:szCs w:val="32"/>
        </w:rPr>
        <w:t xml:space="preserve"> </w:t>
      </w:r>
    </w:p>
    <w:p w14:paraId="5E700A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1.文本成果 </w:t>
      </w:r>
    </w:p>
    <w:p w14:paraId="763DF9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规划说明书（含现状分析、目标体系、工程方案）；  </w:t>
      </w:r>
    </w:p>
    <w:p w14:paraId="4F5F12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专题报告（内涝防治、再生水利用、智慧化运维）。  </w:t>
      </w:r>
    </w:p>
    <w:p w14:paraId="14ABF5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2.图纸成果</w:t>
      </w:r>
    </w:p>
    <w:p w14:paraId="1A6E60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排水系统现状与规划图、污水处理设施布局图、内涝风险区划图。  </w:t>
      </w:r>
    </w:p>
    <w:p w14:paraId="75AE14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3.附件 </w:t>
      </w:r>
    </w:p>
    <w:p w14:paraId="7EB4F7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公众参与记录、专家评审意见、资金筹措方案。  </w:t>
      </w:r>
    </w:p>
    <w:p w14:paraId="1CE35A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6A33D9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751B11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湘潭县住房和城乡建设局 </w:t>
      </w:r>
    </w:p>
    <w:p w14:paraId="3481CD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120" w:firstLineChars="16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2025年5月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15日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DB2B4F"/>
    <w:rsid w:val="22DB2B4F"/>
    <w:rsid w:val="27571479"/>
    <w:rsid w:val="47F97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1046</Words>
  <Characters>1115</Characters>
  <Lines>0</Lines>
  <Paragraphs>0</Paragraphs>
  <TotalTime>107</TotalTime>
  <ScaleCrop>false</ScaleCrop>
  <LinksUpToDate>false</LinksUpToDate>
  <CharactersWithSpaces>1244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2025-05-13T01:11:00Z</dcterms:created>
  <dc:creator>Administrator</dc:creator>
  <cp:lastModifiedBy>Administrator</cp:lastModifiedBy>
  <dcterms:modified xsi:type="dcterms:W3CDTF">2025-05-15T00:21:50Z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010D510405B144DEB5FCD3F6E9A68047_11</vt:lpwstr>
  </property>
  <property fmtid="{D5CDD505-2E9C-101B-9397-08002B2CF9AE}" pid="4" name="KSOTemplateDocerSaveRecord">
    <vt:lpwstr>eyJoZGlkIjoiMTRmZDM3NTkwNmM2MDk0MTg5YmQ4NzgyYTc5ZTBlMTMifQ==</vt:lpwstr>
  </property>
</Properties>
</file>